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7E0FF" w14:textId="577473C9" w:rsidR="00F47E95" w:rsidRPr="003F0F17" w:rsidRDefault="00F47E95" w:rsidP="003F0F17">
      <w:pPr>
        <w:pStyle w:val="Heading11"/>
        <w:widowControl/>
        <w:suppressAutoHyphens/>
        <w:spacing w:after="0"/>
        <w:jc w:val="both"/>
        <w:outlineLvl w:val="9"/>
        <w:rPr>
          <w:rStyle w:val="Heading10"/>
          <w:rFonts w:ascii="Verdana" w:hAnsi="Verdana"/>
          <w:b/>
          <w:sz w:val="32"/>
          <w:szCs w:val="30"/>
        </w:rPr>
      </w:pPr>
      <w:r w:rsidRPr="003F0F17">
        <w:rPr>
          <w:rStyle w:val="Heading10"/>
          <w:rFonts w:ascii="Verdana" w:hAnsi="Verdana"/>
          <w:b/>
          <w:sz w:val="32"/>
          <w:szCs w:val="30"/>
        </w:rPr>
        <w:t>A Poet and Prose</w:t>
      </w:r>
    </w:p>
    <w:p w14:paraId="50BE50A4" w14:textId="77777777" w:rsidR="000C4732" w:rsidRPr="003F0F17" w:rsidRDefault="000C4732" w:rsidP="003F0F17">
      <w:pPr>
        <w:pStyle w:val="Heading11"/>
        <w:widowControl/>
        <w:suppressAutoHyphens/>
        <w:spacing w:after="0"/>
        <w:jc w:val="both"/>
        <w:outlineLvl w:val="9"/>
        <w:rPr>
          <w:rFonts w:ascii="Verdana" w:hAnsi="Verdana"/>
          <w:sz w:val="24"/>
          <w:szCs w:val="30"/>
        </w:rPr>
      </w:pPr>
      <w:r w:rsidRPr="003F0F17">
        <w:rPr>
          <w:rStyle w:val="Heading10"/>
          <w:rFonts w:ascii="Verdana" w:hAnsi="Verdana"/>
          <w:sz w:val="24"/>
          <w:szCs w:val="30"/>
        </w:rPr>
        <w:t>Joseph Brodsky</w:t>
      </w:r>
    </w:p>
    <w:p w14:paraId="0D0F640B" w14:textId="77777777" w:rsidR="00F47E95" w:rsidRPr="00983547" w:rsidRDefault="00F47E95" w:rsidP="003F0F17">
      <w:pPr>
        <w:pStyle w:val="Heading11"/>
        <w:widowControl/>
        <w:suppressAutoHyphens/>
        <w:spacing w:after="0"/>
        <w:jc w:val="both"/>
        <w:outlineLvl w:val="9"/>
        <w:rPr>
          <w:rFonts w:ascii="Verdana" w:hAnsi="Verdana"/>
          <w:sz w:val="20"/>
          <w:szCs w:val="30"/>
        </w:rPr>
      </w:pPr>
    </w:p>
    <w:p w14:paraId="227D9F76" w14:textId="77777777" w:rsidR="00F47E95" w:rsidRPr="00983547" w:rsidRDefault="00F47E95" w:rsidP="003F0F17">
      <w:pPr>
        <w:pStyle w:val="BodyText"/>
        <w:suppressAutoHyphens/>
        <w:spacing w:after="0" w:line="240" w:lineRule="auto"/>
        <w:jc w:val="both"/>
        <w:rPr>
          <w:rFonts w:ascii="Verdana" w:hAnsi="Verdana"/>
          <w:sz w:val="20"/>
        </w:rPr>
      </w:pPr>
      <w:r w:rsidRPr="00983547">
        <w:rPr>
          <w:rStyle w:val="BodyTextChar"/>
          <w:rFonts w:ascii="Verdana" w:hAnsi="Verdana"/>
          <w:sz w:val="20"/>
        </w:rPr>
        <w:t>1</w:t>
      </w:r>
    </w:p>
    <w:p w14:paraId="485B44D0" w14:textId="77777777" w:rsidR="00F47E95" w:rsidRPr="00983547" w:rsidRDefault="00F47E95" w:rsidP="003F0F17">
      <w:pPr>
        <w:suppressAutoHyphens/>
        <w:spacing w:after="0"/>
        <w:ind w:firstLine="283"/>
        <w:jc w:val="both"/>
        <w:rPr>
          <w:rFonts w:ascii="Verdana" w:hAnsi="Verdana"/>
          <w:sz w:val="20"/>
        </w:rPr>
      </w:pPr>
    </w:p>
    <w:p w14:paraId="706BBC52"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tradition of dividing literature into poetry and prose dates from the beginnings of prose, since it was only in prose that such a distinction could be made. Ever since, poetry and prose have customarily been regarded as sep</w:t>
      </w:r>
      <w:r w:rsidRPr="00983547">
        <w:rPr>
          <w:rStyle w:val="BodyTextChar"/>
          <w:rFonts w:ascii="Verdana" w:hAnsi="Verdana"/>
          <w:sz w:val="20"/>
        </w:rPr>
        <w:softHyphen/>
        <w:t>arate areas—or, better yet, spheres—of literature wholly independent of each other. To say the least,</w:t>
      </w:r>
      <w:r>
        <w:rPr>
          <w:rStyle w:val="BodyTextChar"/>
          <w:rFonts w:ascii="Verdana" w:hAnsi="Verdana"/>
          <w:sz w:val="20"/>
        </w:rPr>
        <w:t xml:space="preserve"> “</w:t>
      </w:r>
      <w:r w:rsidRPr="00983547">
        <w:rPr>
          <w:rStyle w:val="BodyTextChar"/>
          <w:rFonts w:ascii="Verdana" w:hAnsi="Verdana"/>
          <w:sz w:val="20"/>
        </w:rPr>
        <w:t>prose poems,”</w:t>
      </w:r>
      <w:r>
        <w:rPr>
          <w:rStyle w:val="BodyTextChar"/>
          <w:rFonts w:ascii="Verdana" w:hAnsi="Verdana"/>
          <w:sz w:val="20"/>
        </w:rPr>
        <w:t xml:space="preserve"> “</w:t>
      </w:r>
      <w:r w:rsidRPr="00983547">
        <w:rPr>
          <w:rStyle w:val="BodyTextChar"/>
          <w:rFonts w:ascii="Verdana" w:hAnsi="Verdana"/>
          <w:sz w:val="20"/>
        </w:rPr>
        <w:t>rhythmical prose,” and the like indicate a derivative men</w:t>
      </w:r>
      <w:r w:rsidRPr="00983547">
        <w:rPr>
          <w:rStyle w:val="BodyTextChar"/>
          <w:rFonts w:ascii="Verdana" w:hAnsi="Verdana"/>
          <w:sz w:val="20"/>
        </w:rPr>
        <w:softHyphen/>
        <w:t>tality, a polarized rather than integral perception of litera</w:t>
      </w:r>
      <w:r w:rsidRPr="00983547">
        <w:rPr>
          <w:rStyle w:val="BodyTextChar"/>
          <w:rFonts w:ascii="Verdana" w:hAnsi="Verdana"/>
          <w:sz w:val="20"/>
        </w:rPr>
        <w:softHyphen/>
        <w:t>ture as a phenomenon. Curiously enough, such a view of things has by no means been imposed upon us by criticism from without. This view is, above all, the fruit of the guild approach to literature taken by literati themselves.</w:t>
      </w:r>
    </w:p>
    <w:p w14:paraId="7024910B"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concept of equality is extrinsic to the nature of art, and the thinking of any man of letters is hierarchical. With</w:t>
      </w:r>
      <w:r w:rsidRPr="00983547">
        <w:rPr>
          <w:rStyle w:val="BodyTextChar"/>
          <w:rFonts w:ascii="Verdana" w:hAnsi="Verdana"/>
          <w:sz w:val="20"/>
        </w:rPr>
        <w:softHyphen/>
        <w:t>in this hierarchy poetry occupies a higher position than prose, and the poet, in principle, is higher than the prose writer. This is true not so much because poetry is in fact older than prose, but because a poet in narrow circum</w:t>
      </w:r>
      <w:r w:rsidRPr="00983547">
        <w:rPr>
          <w:rStyle w:val="BodyTextChar"/>
          <w:rFonts w:ascii="Verdana" w:hAnsi="Verdana"/>
          <w:sz w:val="20"/>
        </w:rPr>
        <w:softHyphen/>
        <w:t>stances can sit down and produce a piece; whereas in simi</w:t>
      </w:r>
      <w:r w:rsidRPr="00983547">
        <w:rPr>
          <w:rStyle w:val="BodyTextChar"/>
          <w:rFonts w:ascii="Verdana" w:hAnsi="Verdana"/>
          <w:sz w:val="20"/>
        </w:rPr>
        <w:softHyphen/>
        <w:t>lar straits a prose writer would hardly give thought to a poem. Even if the prose writer has what it takes to write a</w:t>
      </w:r>
      <w:r>
        <w:rPr>
          <w:rStyle w:val="BodyTextChar"/>
          <w:rFonts w:ascii="Verdana" w:hAnsi="Verdana"/>
          <w:sz w:val="20"/>
        </w:rPr>
        <w:t xml:space="preserve"> </w:t>
      </w:r>
      <w:r w:rsidRPr="00983547">
        <w:rPr>
          <w:rStyle w:val="BodyTextChar"/>
          <w:rFonts w:ascii="Verdana" w:hAnsi="Verdana"/>
          <w:sz w:val="20"/>
        </w:rPr>
        <w:t>decent verse text, he knows full well that poetry pays a lot worse, and more slowly than prose.</w:t>
      </w:r>
    </w:p>
    <w:p w14:paraId="45DD4B8E"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With few exceptions, all the more or less eminent writers of recent times have paid their dues to verse. Some, like Nabokov, for example, have tried to the very end to con</w:t>
      </w:r>
      <w:r w:rsidRPr="00983547">
        <w:rPr>
          <w:rStyle w:val="BodyTextChar"/>
          <w:rFonts w:ascii="Verdana" w:hAnsi="Verdana"/>
          <w:sz w:val="20"/>
        </w:rPr>
        <w:softHyphen/>
        <w:t>vince themselves and those around them that even if they were not primarily poets, they were poets all the same. Most of them, however, after once yielding to the temptation of poetry, never addressed themselves to it again except as readers; still, they remained deeply grateful for the lessons in laconism and harmony it taught them. In twentieth</w:t>
      </w:r>
      <w:r w:rsidRPr="00983547">
        <w:rPr>
          <w:rStyle w:val="BodyTextChar"/>
          <w:rFonts w:ascii="Verdana" w:hAnsi="Verdana"/>
          <w:sz w:val="20"/>
        </w:rPr>
        <w:softHyphen/>
        <w:t>century literature the only case of an outstanding prose writer becoming a great poet is that of Thomas Hardy. In general, however, it can be said that the prose writer with</w:t>
      </w:r>
      <w:r w:rsidRPr="00983547">
        <w:rPr>
          <w:rStyle w:val="BodyTextChar"/>
          <w:rFonts w:ascii="Verdana" w:hAnsi="Verdana"/>
          <w:sz w:val="20"/>
        </w:rPr>
        <w:softHyphen/>
        <w:t>out active experience in poetry is prone to prolixity and grandiloquence.</w:t>
      </w:r>
    </w:p>
    <w:p w14:paraId="55A86A77"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does a writer of prose leam from poetry? The de</w:t>
      </w:r>
      <w:r w:rsidRPr="00983547">
        <w:rPr>
          <w:rStyle w:val="BodyTextChar"/>
          <w:rFonts w:ascii="Verdana" w:hAnsi="Verdana"/>
          <w:sz w:val="20"/>
        </w:rPr>
        <w:softHyphen/>
        <w:t>pendence of a word</w:t>
      </w:r>
      <w:r>
        <w:rPr>
          <w:rStyle w:val="BodyTextChar"/>
          <w:rFonts w:ascii="Verdana" w:hAnsi="Verdana"/>
          <w:sz w:val="20"/>
        </w:rPr>
        <w:t>’s</w:t>
      </w:r>
      <w:r w:rsidRPr="00983547">
        <w:rPr>
          <w:rStyle w:val="BodyTextChar"/>
          <w:rFonts w:ascii="Verdana" w:hAnsi="Verdana"/>
          <w:sz w:val="20"/>
        </w:rPr>
        <w:t xml:space="preserve"> specific gravity on context, focused thinking, omission of the self-evident, the dangers that lurk within an elevated state of mind. And what does the poet learn from prose? Not much: attention to detail, the use of common parlance and bureaucratese, and, in rare instances, compositional know-how (the best teacher of which is music). All three of these, however, can be gleaned from the experience of poetry itself </w:t>
      </w:r>
      <w:r>
        <w:rPr>
          <w:rStyle w:val="BodyTextChar"/>
          <w:rFonts w:ascii="Verdana" w:hAnsi="Verdana"/>
          <w:sz w:val="20"/>
        </w:rPr>
        <w:t>(</w:t>
      </w:r>
      <w:r w:rsidRPr="00983547">
        <w:rPr>
          <w:rStyle w:val="BodyTextChar"/>
          <w:rFonts w:ascii="Verdana" w:hAnsi="Verdana"/>
          <w:sz w:val="20"/>
        </w:rPr>
        <w:t>especially from Renaissance poetry), and theoretically—but only theoretically—a poet can get along without prose.</w:t>
      </w:r>
    </w:p>
    <w:p w14:paraId="390935F1"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only theoretically can he get along without writing prose. Need or a reviewer</w:t>
      </w:r>
      <w:r>
        <w:rPr>
          <w:rStyle w:val="BodyTextChar"/>
          <w:rFonts w:ascii="Verdana" w:hAnsi="Verdana"/>
          <w:sz w:val="20"/>
        </w:rPr>
        <w:t>’s</w:t>
      </w:r>
      <w:r w:rsidRPr="00983547">
        <w:rPr>
          <w:rStyle w:val="BodyTextChar"/>
          <w:rFonts w:ascii="Verdana" w:hAnsi="Verdana"/>
          <w:sz w:val="20"/>
        </w:rPr>
        <w:t xml:space="preserve"> ignorance, not to mention ordi</w:t>
      </w:r>
      <w:r w:rsidRPr="00983547">
        <w:rPr>
          <w:rStyle w:val="BodyTextChar"/>
          <w:rFonts w:ascii="Verdana" w:hAnsi="Verdana"/>
          <w:sz w:val="20"/>
        </w:rPr>
        <w:softHyphen/>
        <w:t>nary correspondence, will sooner or later force him to write in run-on lines,</w:t>
      </w:r>
      <w:r>
        <w:rPr>
          <w:rStyle w:val="BodyTextChar"/>
          <w:rFonts w:ascii="Verdana" w:hAnsi="Verdana"/>
          <w:sz w:val="20"/>
        </w:rPr>
        <w:t xml:space="preserve"> “</w:t>
      </w:r>
      <w:r w:rsidRPr="00983547">
        <w:rPr>
          <w:rStyle w:val="BodyTextChar"/>
          <w:rFonts w:ascii="Verdana" w:hAnsi="Verdana"/>
          <w:sz w:val="20"/>
        </w:rPr>
        <w:t>like everyone else.” But apart from these, a poet has other reasons, which we will attempt to exam</w:t>
      </w:r>
      <w:r w:rsidRPr="00983547">
        <w:rPr>
          <w:rStyle w:val="BodyTextChar"/>
          <w:rFonts w:ascii="Verdana" w:hAnsi="Verdana"/>
          <w:sz w:val="20"/>
        </w:rPr>
        <w:softHyphen/>
      </w:r>
      <w:r w:rsidRPr="00983547">
        <w:rPr>
          <w:rStyle w:val="BodyTextChar"/>
          <w:rFonts w:ascii="Verdana" w:hAnsi="Verdana"/>
          <w:sz w:val="20"/>
          <w:lang w:eastAsia="de-DE" w:bidi="de-DE"/>
        </w:rPr>
        <w:t xml:space="preserve">ine </w:t>
      </w:r>
      <w:r w:rsidRPr="00983547">
        <w:rPr>
          <w:rStyle w:val="BodyTextChar"/>
          <w:rFonts w:ascii="Verdana" w:hAnsi="Verdana"/>
          <w:sz w:val="20"/>
        </w:rPr>
        <w:t xml:space="preserve">here. </w:t>
      </w:r>
      <w:r w:rsidRPr="00983547">
        <w:rPr>
          <w:rStyle w:val="BodyTextChar"/>
          <w:rFonts w:ascii="Verdana" w:hAnsi="Verdana"/>
          <w:sz w:val="20"/>
          <w:lang w:eastAsia="de-DE" w:bidi="de-DE"/>
        </w:rPr>
        <w:t xml:space="preserve">In </w:t>
      </w:r>
      <w:r w:rsidRPr="00983547">
        <w:rPr>
          <w:rStyle w:val="BodyTextChar"/>
          <w:rFonts w:ascii="Verdana" w:hAnsi="Verdana"/>
          <w:sz w:val="20"/>
        </w:rPr>
        <w:t xml:space="preserve">the </w:t>
      </w:r>
      <w:r w:rsidRPr="00983547">
        <w:rPr>
          <w:rStyle w:val="BodyTextChar"/>
          <w:rFonts w:ascii="Verdana" w:hAnsi="Verdana"/>
          <w:sz w:val="20"/>
          <w:lang w:eastAsia="de-DE" w:bidi="de-DE"/>
        </w:rPr>
        <w:t xml:space="preserve">first place, </w:t>
      </w:r>
      <w:r w:rsidRPr="00983547">
        <w:rPr>
          <w:rStyle w:val="BodyTextChar"/>
          <w:rFonts w:ascii="Verdana" w:hAnsi="Verdana"/>
          <w:sz w:val="20"/>
        </w:rPr>
        <w:t>one fine day a poet may simply get an urge to write something in prose. (The in</w:t>
      </w:r>
      <w:r w:rsidRPr="00983547">
        <w:rPr>
          <w:rStyle w:val="BodyTextChar"/>
          <w:rFonts w:ascii="Verdana" w:hAnsi="Verdana"/>
          <w:sz w:val="20"/>
        </w:rPr>
        <w:softHyphen/>
        <w:t xml:space="preserve">feriority complex that the prose writer suffers </w:t>
      </w:r>
      <w:r w:rsidRPr="00983547">
        <w:rPr>
          <w:rStyle w:val="BodyTextChar"/>
          <w:rFonts w:ascii="Verdana" w:hAnsi="Verdana"/>
          <w:sz w:val="20"/>
          <w:lang w:eastAsia="fr-FR" w:bidi="fr-FR"/>
        </w:rPr>
        <w:t xml:space="preserve">vis-à-vis </w:t>
      </w:r>
      <w:r w:rsidRPr="00983547">
        <w:rPr>
          <w:rStyle w:val="BodyTextChar"/>
          <w:rFonts w:ascii="Verdana" w:hAnsi="Verdana"/>
          <w:sz w:val="20"/>
        </w:rPr>
        <w:t>the poet doesn’t automatically imply the poet</w:t>
      </w:r>
      <w:r>
        <w:rPr>
          <w:rStyle w:val="BodyTextChar"/>
          <w:rFonts w:ascii="Verdana" w:hAnsi="Verdana"/>
          <w:sz w:val="20"/>
        </w:rPr>
        <w:t>’s</w:t>
      </w:r>
      <w:r w:rsidRPr="00983547">
        <w:rPr>
          <w:rStyle w:val="BodyTextChar"/>
          <w:rFonts w:ascii="Verdana" w:hAnsi="Verdana"/>
          <w:sz w:val="20"/>
        </w:rPr>
        <w:t xml:space="preserve"> superiority complex </w:t>
      </w:r>
      <w:r w:rsidRPr="00983547">
        <w:rPr>
          <w:rStyle w:val="BodyTextChar"/>
          <w:rFonts w:ascii="Verdana" w:hAnsi="Verdana"/>
          <w:sz w:val="20"/>
          <w:lang w:eastAsia="fr-FR" w:bidi="fr-FR"/>
        </w:rPr>
        <w:t xml:space="preserve">vis-à-vis </w:t>
      </w:r>
      <w:r w:rsidRPr="00983547">
        <w:rPr>
          <w:rStyle w:val="BodyTextChar"/>
          <w:rFonts w:ascii="Verdana" w:hAnsi="Verdana"/>
          <w:sz w:val="20"/>
        </w:rPr>
        <w:t>the prose writer. The poet often deems the latter</w:t>
      </w:r>
      <w:r>
        <w:rPr>
          <w:rStyle w:val="BodyTextChar"/>
          <w:rFonts w:ascii="Verdana" w:hAnsi="Verdana"/>
          <w:sz w:val="20"/>
        </w:rPr>
        <w:t>’s</w:t>
      </w:r>
      <w:r w:rsidRPr="00983547">
        <w:rPr>
          <w:rStyle w:val="BodyTextChar"/>
          <w:rFonts w:ascii="Verdana" w:hAnsi="Verdana"/>
          <w:sz w:val="20"/>
        </w:rPr>
        <w:t xml:space="preserve"> work much more serious than his own, which he may not even always regard as work.) Moreover, there are subjects that can be treated only in prose. A narrative involving more than three characters resists almost every poetic form except the epos. Reflections on historical themes, as well as childhood remembrances </w:t>
      </w:r>
      <w:r>
        <w:rPr>
          <w:rStyle w:val="BodyTextChar"/>
          <w:rFonts w:ascii="Verdana" w:hAnsi="Verdana"/>
          <w:sz w:val="20"/>
        </w:rPr>
        <w:t>(</w:t>
      </w:r>
      <w:r w:rsidRPr="00983547">
        <w:rPr>
          <w:rStyle w:val="BodyTextChar"/>
          <w:rFonts w:ascii="Verdana" w:hAnsi="Verdana"/>
          <w:sz w:val="20"/>
        </w:rPr>
        <w:t xml:space="preserve">in which the poet indulges to the same degree as ordinary mortals do), in turn look more natural in prose. </w:t>
      </w:r>
      <w:r w:rsidRPr="00983547">
        <w:rPr>
          <w:rStyle w:val="BodyTextChar"/>
          <w:rFonts w:ascii="Verdana" w:hAnsi="Verdana"/>
          <w:i/>
          <w:iCs/>
          <w:sz w:val="20"/>
        </w:rPr>
        <w:t>The History of the Pu</w:t>
      </w:r>
      <w:r w:rsidRPr="00983547">
        <w:rPr>
          <w:rStyle w:val="BodyTextChar"/>
          <w:rFonts w:ascii="Verdana" w:hAnsi="Verdana"/>
          <w:i/>
          <w:iCs/>
          <w:sz w:val="20"/>
        </w:rPr>
        <w:softHyphen/>
        <w:t>gachev Rebellion, The Captains Daughter</w:t>
      </w:r>
      <w:r w:rsidRPr="003F0F17">
        <w:rPr>
          <w:rStyle w:val="FootnoteReference"/>
          <w:rFonts w:ascii="Verdana" w:hAnsi="Verdana"/>
          <w:iCs/>
          <w:sz w:val="20"/>
        </w:rPr>
        <w:footnoteReference w:id="1"/>
      </w:r>
      <w:r w:rsidRPr="00983547">
        <w:rPr>
          <w:rStyle w:val="BodyTextChar"/>
          <w:rFonts w:ascii="Verdana" w:hAnsi="Verdana"/>
          <w:sz w:val="20"/>
        </w:rPr>
        <w:t>—what could be more gratifying subjects for romantic poems! And espe</w:t>
      </w:r>
      <w:r w:rsidRPr="00983547">
        <w:rPr>
          <w:rStyle w:val="BodyTextChar"/>
          <w:rFonts w:ascii="Verdana" w:hAnsi="Verdana"/>
          <w:sz w:val="20"/>
        </w:rPr>
        <w:softHyphen/>
        <w:t>cially in the era of Romanticism</w:t>
      </w:r>
      <w:r>
        <w:rPr>
          <w:rStyle w:val="BodyTextChar"/>
          <w:rFonts w:ascii="Verdana" w:hAnsi="Verdana"/>
          <w:sz w:val="20"/>
        </w:rPr>
        <w:t> . . .</w:t>
      </w:r>
      <w:r w:rsidRPr="00983547">
        <w:rPr>
          <w:rStyle w:val="BodyTextChar"/>
          <w:rFonts w:ascii="Verdana" w:hAnsi="Verdana"/>
          <w:sz w:val="20"/>
        </w:rPr>
        <w:t xml:space="preserve"> However, what hap</w:t>
      </w:r>
      <w:r w:rsidRPr="00983547">
        <w:rPr>
          <w:rStyle w:val="BodyTextChar"/>
          <w:rFonts w:ascii="Verdana" w:hAnsi="Verdana"/>
          <w:sz w:val="20"/>
        </w:rPr>
        <w:softHyphen/>
        <w:t>pens in the end is that the novel in verse is replaced more and more often by</w:t>
      </w:r>
      <w:r>
        <w:rPr>
          <w:rStyle w:val="BodyTextChar"/>
          <w:rFonts w:ascii="Verdana" w:hAnsi="Verdana"/>
          <w:sz w:val="20"/>
        </w:rPr>
        <w:t xml:space="preserve"> “</w:t>
      </w:r>
      <w:r w:rsidRPr="00983547">
        <w:rPr>
          <w:rStyle w:val="BodyTextChar"/>
          <w:rFonts w:ascii="Verdana" w:hAnsi="Verdana"/>
          <w:sz w:val="20"/>
        </w:rPr>
        <w:t>verses from a novel.”</w:t>
      </w:r>
      <w:r w:rsidRPr="003F0F17">
        <w:rPr>
          <w:rStyle w:val="FootnoteReference"/>
          <w:rFonts w:ascii="Verdana" w:hAnsi="Verdana"/>
          <w:sz w:val="20"/>
        </w:rPr>
        <w:footnoteReference w:id="2"/>
      </w:r>
      <w:r w:rsidRPr="00983547">
        <w:rPr>
          <w:rStyle w:val="BodyTextChar"/>
          <w:rFonts w:ascii="Verdana" w:hAnsi="Verdana"/>
          <w:sz w:val="20"/>
        </w:rPr>
        <w:t xml:space="preserve"> No one knows how much poetry loses when a poet turns to prose; it is quite certain, though, that prose profits from it greatly.</w:t>
      </w:r>
    </w:p>
    <w:p w14:paraId="316728CE"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The prose works of Marina Tsvetaeva explain this better than anything else. To paraphrase Clausewitz, prose for Tsvetaeva was nothing but the continuation of poetry by other means (which, in fact, is what prose historically is). Everywhere—in her diary entries, essays o n literature, fic</w:t>
      </w:r>
      <w:r w:rsidRPr="00983547">
        <w:rPr>
          <w:rStyle w:val="BodyTextChar"/>
          <w:rFonts w:ascii="Verdana" w:hAnsi="Verdana"/>
          <w:sz w:val="20"/>
        </w:rPr>
        <w:softHyphen/>
        <w:t>tionalized reminiscences—that is just what we encounter: the resetting of the methodology of poetic thinking into a prose text, the growth of poetry into prose. Tsvetaeva</w:t>
      </w:r>
      <w:r>
        <w:rPr>
          <w:rStyle w:val="BodyTextChar"/>
          <w:rFonts w:ascii="Verdana" w:hAnsi="Verdana"/>
          <w:sz w:val="20"/>
        </w:rPr>
        <w:t xml:space="preserve">’s </w:t>
      </w:r>
      <w:r w:rsidRPr="00983547">
        <w:rPr>
          <w:rStyle w:val="BodyTextChar"/>
          <w:rFonts w:ascii="Verdana" w:hAnsi="Verdana"/>
          <w:sz w:val="20"/>
        </w:rPr>
        <w:t>sentence is constructed not so much in accordance with the principle of subject followed by predicate as through the use of specifically poetic technology: sound association, root rhyme, semantic enjambment, etc. That is, the reader is constantly dealing not with a linear (analytic) develop</w:t>
      </w:r>
      <w:r w:rsidRPr="00983547">
        <w:rPr>
          <w:rStyle w:val="BodyTextChar"/>
          <w:rFonts w:ascii="Verdana" w:hAnsi="Verdana"/>
          <w:sz w:val="20"/>
        </w:rPr>
        <w:softHyphen/>
        <w:t>ment but with a crystalline (synthesizing) growth of thought. Perhaps no better laboratory can be found for analyzing the psychology of poetic creation, inasmuch as all stages of the process are shown at extremely close range, verging on the starkness of caricature.</w:t>
      </w:r>
    </w:p>
    <w:p w14:paraId="5D9540E6"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“Reading,” says Tsvetaeva, “is complicity in the creative process.” This most certainly is the statement of a poet; Leo Tolstoy would not have said such a thing. In this state</w:t>
      </w:r>
      <w:r w:rsidRPr="00983547">
        <w:rPr>
          <w:rStyle w:val="BodyTextChar"/>
          <w:rFonts w:ascii="Verdana" w:hAnsi="Verdana"/>
          <w:sz w:val="20"/>
        </w:rPr>
        <w:softHyphen/>
        <w:t>ment a sensitive or at least a reasonably alert ear can dis</w:t>
      </w:r>
      <w:r w:rsidRPr="00983547">
        <w:rPr>
          <w:rStyle w:val="BodyTextChar"/>
          <w:rFonts w:ascii="Verdana" w:hAnsi="Verdana"/>
          <w:sz w:val="20"/>
        </w:rPr>
        <w:softHyphen/>
        <w:t xml:space="preserve">tinguish a note of despair, greatly muffled by authorial </w:t>
      </w:r>
      <w:r>
        <w:rPr>
          <w:rStyle w:val="BodyTextChar"/>
          <w:rFonts w:ascii="Verdana" w:hAnsi="Verdana"/>
          <w:sz w:val="20"/>
        </w:rPr>
        <w:t>(</w:t>
      </w:r>
      <w:r w:rsidRPr="00983547">
        <w:rPr>
          <w:rStyle w:val="BodyTextChar"/>
          <w:rFonts w:ascii="Verdana" w:hAnsi="Verdana"/>
          <w:sz w:val="20"/>
        </w:rPr>
        <w:t>and feminine at that) pride, coming specifically from a poet sorely fatigued by the ever-widening rift—growing with each additional line—between author and audience. And in the poet</w:t>
      </w:r>
      <w:r>
        <w:rPr>
          <w:rStyle w:val="BodyTextChar"/>
          <w:rFonts w:ascii="Verdana" w:hAnsi="Verdana"/>
          <w:sz w:val="20"/>
        </w:rPr>
        <w:t>’s</w:t>
      </w:r>
      <w:r w:rsidRPr="00983547">
        <w:rPr>
          <w:rStyle w:val="BodyTextChar"/>
          <w:rFonts w:ascii="Verdana" w:hAnsi="Verdana"/>
          <w:sz w:val="20"/>
        </w:rPr>
        <w:t xml:space="preserve"> turning to prose, that </w:t>
      </w:r>
      <w:r w:rsidRPr="00983547">
        <w:rPr>
          <w:rStyle w:val="BodyTextChar"/>
          <w:rFonts w:ascii="Verdana" w:hAnsi="Verdana"/>
          <w:i/>
          <w:iCs/>
          <w:sz w:val="20"/>
        </w:rPr>
        <w:t>a priori</w:t>
      </w:r>
      <w:r w:rsidRPr="00983547">
        <w:rPr>
          <w:rStyle w:val="BodyTextChar"/>
          <w:rFonts w:ascii="Verdana" w:hAnsi="Verdana"/>
          <w:sz w:val="20"/>
        </w:rPr>
        <w:t xml:space="preserve"> “normal” form of communication with a reader, there is always a touch of slackening tempo, shifting gear, trying to make oneself clear, to explain things. For without complicity in the crea</w:t>
      </w:r>
      <w:r w:rsidRPr="00983547">
        <w:rPr>
          <w:rStyle w:val="BodyTextChar"/>
          <w:rFonts w:ascii="Verdana" w:hAnsi="Verdana"/>
          <w:sz w:val="20"/>
        </w:rPr>
        <w:softHyphen/>
        <w:t>tive process there is no comprehension: what is compre</w:t>
      </w:r>
      <w:r w:rsidRPr="00983547">
        <w:rPr>
          <w:rStyle w:val="BodyTextChar"/>
          <w:rFonts w:ascii="Verdana" w:hAnsi="Verdana"/>
          <w:sz w:val="20"/>
        </w:rPr>
        <w:softHyphen/>
        <w:t>hension if not complicity? As Whitman said: “Great poetry is possible only if there are great readers.” In turning to prose, and dismantling almost every other word of it into component parts, Tsvetaeva shows her reader what a word, a thought, a phrase consists of; she tries, often against her own will, to draw the reader closer to her: to make him equally great.</w:t>
      </w:r>
    </w:p>
    <w:p w14:paraId="41E79E22"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is still another explanation of the methodology of Tsvetaeva</w:t>
      </w:r>
      <w:r>
        <w:rPr>
          <w:rStyle w:val="BodyTextChar"/>
          <w:rFonts w:ascii="Verdana" w:hAnsi="Verdana"/>
          <w:sz w:val="20"/>
        </w:rPr>
        <w:t>’s</w:t>
      </w:r>
      <w:r w:rsidRPr="00983547">
        <w:rPr>
          <w:rStyle w:val="BodyTextChar"/>
          <w:rFonts w:ascii="Verdana" w:hAnsi="Verdana"/>
          <w:sz w:val="20"/>
        </w:rPr>
        <w:t xml:space="preserve"> prose. Since the day that the narrative genre</w:t>
      </w:r>
      <w:r>
        <w:rPr>
          <w:rStyle w:val="BodyTextChar"/>
          <w:rFonts w:ascii="Verdana" w:hAnsi="Verdana"/>
          <w:sz w:val="20"/>
        </w:rPr>
        <w:t xml:space="preserve"> </w:t>
      </w:r>
      <w:r w:rsidRPr="00983547">
        <w:rPr>
          <w:rStyle w:val="BodyTextChar"/>
          <w:rFonts w:ascii="Verdana" w:hAnsi="Verdana"/>
          <w:sz w:val="20"/>
        </w:rPr>
        <w:t>first came into being, every form of it—short story, tale, novel—has dreaded one thing: the charge of being un</w:t>
      </w:r>
      <w:r w:rsidRPr="00983547">
        <w:rPr>
          <w:rStyle w:val="BodyTextChar"/>
          <w:rFonts w:ascii="Verdana" w:hAnsi="Verdana"/>
          <w:sz w:val="20"/>
        </w:rPr>
        <w:softHyphen/>
        <w:t>convincing. Hence either a striving for realism, or struc</w:t>
      </w:r>
      <w:r w:rsidRPr="00983547">
        <w:rPr>
          <w:rStyle w:val="BodyTextChar"/>
          <w:rFonts w:ascii="Verdana" w:hAnsi="Verdana"/>
          <w:sz w:val="20"/>
        </w:rPr>
        <w:softHyphen/>
        <w:t>tural mannerisms. In the final analysis, every writer strives for the same thing: to regain or hold back time past or cur</w:t>
      </w:r>
      <w:r w:rsidRPr="00983547">
        <w:rPr>
          <w:rStyle w:val="BodyTextChar"/>
          <w:rFonts w:ascii="Verdana" w:hAnsi="Verdana"/>
          <w:sz w:val="20"/>
        </w:rPr>
        <w:softHyphen/>
        <w:t>rent. Toward this end a poet has at his disposal caesura, un</w:t>
      </w:r>
      <w:r w:rsidRPr="00983547">
        <w:rPr>
          <w:rStyle w:val="BodyTextChar"/>
          <w:rFonts w:ascii="Verdana" w:hAnsi="Verdana"/>
          <w:sz w:val="20"/>
        </w:rPr>
        <w:softHyphen/>
        <w:t>accented feet, dactylic endings; a prose writer has nothing of the kind. Turning to prose, Tsvetaeva quite unconsciously transfers to it the dynamics of poetic language—essentially the dynamics of song—which is in itself a form of restruc</w:t>
      </w:r>
      <w:r w:rsidRPr="00983547">
        <w:rPr>
          <w:rStyle w:val="BodyTextChar"/>
          <w:rFonts w:ascii="Verdana" w:hAnsi="Verdana"/>
          <w:sz w:val="20"/>
        </w:rPr>
        <w:softHyphen/>
        <w:t xml:space="preserve">tured time. </w:t>
      </w:r>
      <w:r>
        <w:rPr>
          <w:rStyle w:val="BodyTextChar"/>
          <w:rFonts w:ascii="Verdana" w:hAnsi="Verdana"/>
          <w:sz w:val="20"/>
        </w:rPr>
        <w:t>(</w:t>
      </w:r>
      <w:r w:rsidRPr="00983547">
        <w:rPr>
          <w:rStyle w:val="BodyTextChar"/>
          <w:rFonts w:ascii="Verdana" w:hAnsi="Verdana"/>
          <w:sz w:val="20"/>
        </w:rPr>
        <w:t>If only because a verse line is short; each word in it, frequently each syllable, is subjected to a double or triple semantic burden. A multiplicity of meanings pre</w:t>
      </w:r>
      <w:r w:rsidRPr="00983547">
        <w:rPr>
          <w:rStyle w:val="BodyTextChar"/>
          <w:rFonts w:ascii="Verdana" w:hAnsi="Verdana"/>
          <w:sz w:val="20"/>
        </w:rPr>
        <w:softHyphen/>
        <w:t>supposes a corresponding number of attempts to compre</w:t>
      </w:r>
      <w:r w:rsidRPr="00983547">
        <w:rPr>
          <w:rStyle w:val="BodyTextChar"/>
          <w:rFonts w:ascii="Verdana" w:hAnsi="Verdana"/>
          <w:sz w:val="20"/>
        </w:rPr>
        <w:softHyphen/>
        <w:t xml:space="preserve">hend, that is, several takes; and what is a </w:t>
      </w:r>
      <w:r w:rsidRPr="00983547">
        <w:rPr>
          <w:rStyle w:val="BodyTextChar"/>
          <w:rFonts w:ascii="Verdana" w:hAnsi="Verdana"/>
          <w:i/>
          <w:iCs/>
          <w:sz w:val="20"/>
        </w:rPr>
        <w:t>take</w:t>
      </w:r>
      <w:r w:rsidRPr="00983547">
        <w:rPr>
          <w:rStyle w:val="BodyTextChar"/>
          <w:rFonts w:ascii="Verdana" w:hAnsi="Verdana"/>
          <w:sz w:val="20"/>
        </w:rPr>
        <w:t xml:space="preserve"> if not a unit of time?) Tsvetaeva, however, is not particularly con</w:t>
      </w:r>
      <w:r w:rsidRPr="00983547">
        <w:rPr>
          <w:rStyle w:val="BodyTextChar"/>
          <w:rFonts w:ascii="Verdana" w:hAnsi="Verdana"/>
          <w:sz w:val="20"/>
        </w:rPr>
        <w:softHyphen/>
        <w:t>cerned about how convincing the language of her prose is: whatever the topic of her narrative, its technology remains the same. Furthermore, her narrative in a strict sense is plotless and is held together mainly by the energy of mono</w:t>
      </w:r>
      <w:r w:rsidRPr="00983547">
        <w:rPr>
          <w:rStyle w:val="BodyTextChar"/>
          <w:rFonts w:ascii="Verdana" w:hAnsi="Verdana"/>
          <w:sz w:val="20"/>
        </w:rPr>
        <w:softHyphen/>
        <w:t>logue. But all the same, unlike professional prose writers and other poets who have resorted to prose, she does not submit to the genre</w:t>
      </w:r>
      <w:r>
        <w:rPr>
          <w:rStyle w:val="BodyTextChar"/>
          <w:rFonts w:ascii="Verdana" w:hAnsi="Verdana"/>
          <w:sz w:val="20"/>
        </w:rPr>
        <w:t>’s</w:t>
      </w:r>
      <w:r w:rsidRPr="00983547">
        <w:rPr>
          <w:rStyle w:val="BodyTextChar"/>
          <w:rFonts w:ascii="Verdana" w:hAnsi="Verdana"/>
          <w:sz w:val="20"/>
        </w:rPr>
        <w:t xml:space="preserve"> aesthetic inertia: she imposes her own technology on it, she imposes herself. This is not a result of an obsession with her own self, the belief generally held; instead it comes from an obsession with intonation, which is far more important to her than either poem or story.</w:t>
      </w:r>
    </w:p>
    <w:p w14:paraId="6DAA4B60"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Verisimilitude in a narrative may be a result of complying with the genre</w:t>
      </w:r>
      <w:r>
        <w:rPr>
          <w:rStyle w:val="BodyTextChar"/>
          <w:rFonts w:ascii="Verdana" w:hAnsi="Verdana"/>
          <w:sz w:val="20"/>
        </w:rPr>
        <w:t>’s</w:t>
      </w:r>
      <w:r w:rsidRPr="00983547">
        <w:rPr>
          <w:rStyle w:val="BodyTextChar"/>
          <w:rFonts w:ascii="Verdana" w:hAnsi="Verdana"/>
          <w:sz w:val="20"/>
        </w:rPr>
        <w:t xml:space="preserve"> requirements; the same effect may also be ascribed to the timbre of the voice that does the narrating. In the latter case both the plausibility of the story line and the story line itself recede into the background of</w:t>
      </w:r>
      <w:r>
        <w:rPr>
          <w:rStyle w:val="BodyTextChar"/>
          <w:rFonts w:ascii="Verdana" w:hAnsi="Verdana"/>
          <w:sz w:val="20"/>
        </w:rPr>
        <w:t xml:space="preserve"> </w:t>
      </w:r>
      <w:r w:rsidRPr="00983547">
        <w:rPr>
          <w:rStyle w:val="BodyTextChar"/>
          <w:rFonts w:ascii="Verdana" w:hAnsi="Verdana"/>
          <w:sz w:val="20"/>
        </w:rPr>
        <w:t>the listener</w:t>
      </w:r>
      <w:r>
        <w:rPr>
          <w:rStyle w:val="BodyTextChar"/>
          <w:rFonts w:ascii="Verdana" w:hAnsi="Verdana"/>
          <w:sz w:val="20"/>
        </w:rPr>
        <w:t>’s</w:t>
      </w:r>
      <w:r w:rsidRPr="00983547">
        <w:rPr>
          <w:rStyle w:val="BodyTextChar"/>
          <w:rFonts w:ascii="Verdana" w:hAnsi="Verdana"/>
          <w:sz w:val="20"/>
        </w:rPr>
        <w:t xml:space="preserve"> consciousness (i.e., into parentheses), as the author</w:t>
      </w:r>
      <w:r>
        <w:rPr>
          <w:rStyle w:val="BodyTextChar"/>
          <w:rFonts w:ascii="Verdana" w:hAnsi="Verdana"/>
          <w:sz w:val="20"/>
        </w:rPr>
        <w:t>’s</w:t>
      </w:r>
      <w:r w:rsidRPr="00983547">
        <w:rPr>
          <w:rStyle w:val="BodyTextChar"/>
          <w:rFonts w:ascii="Verdana" w:hAnsi="Verdana"/>
          <w:sz w:val="20"/>
        </w:rPr>
        <w:t xml:space="preserve"> dues paid to the proprieties of the genre. What stand outside the parentheses are the timbre of the voice and its intonation. To create this effect on the stage requires supplementary gestures; on paper—that is, in prose—it is achieved by the device of dramatic arrhythmia, which is most often brought about by interspersing nominative sen</w:t>
      </w:r>
      <w:r w:rsidRPr="00983547">
        <w:rPr>
          <w:rStyle w:val="BodyTextChar"/>
          <w:rFonts w:ascii="Verdana" w:hAnsi="Verdana"/>
          <w:sz w:val="20"/>
        </w:rPr>
        <w:softHyphen/>
        <w:t>tences among a mass of complex ones. In this alone one can see elements of borrowing from poetry. Yet Tsvetaeva, who doesn’t have to borrow anything from anyone, starts with the utmost structural compactness of language and ends with it as well. The degree of linguistic expressiveness of her prose, given the minimal use of typographical means, is remarkable. Let us recall the author</w:t>
      </w:r>
      <w:r>
        <w:rPr>
          <w:rStyle w:val="BodyTextChar"/>
          <w:rFonts w:ascii="Verdana" w:hAnsi="Verdana"/>
          <w:sz w:val="20"/>
        </w:rPr>
        <w:t>’s</w:t>
      </w:r>
      <w:r w:rsidRPr="00983547">
        <w:rPr>
          <w:rStyle w:val="BodyTextChar"/>
          <w:rFonts w:ascii="Verdana" w:hAnsi="Verdana"/>
          <w:sz w:val="20"/>
        </w:rPr>
        <w:t xml:space="preserve"> stage direction describing Casanova in her play </w:t>
      </w:r>
      <w:r w:rsidRPr="00983547">
        <w:rPr>
          <w:rStyle w:val="BodyTextChar"/>
          <w:rFonts w:ascii="Verdana" w:hAnsi="Verdana"/>
          <w:i/>
          <w:iCs/>
          <w:sz w:val="20"/>
        </w:rPr>
        <w:t>Casanova</w:t>
      </w:r>
      <w:r>
        <w:rPr>
          <w:rStyle w:val="BodyTextChar"/>
          <w:rFonts w:ascii="Verdana" w:hAnsi="Verdana"/>
          <w:i/>
          <w:iCs/>
          <w:sz w:val="20"/>
        </w:rPr>
        <w:t>’s</w:t>
      </w:r>
      <w:r w:rsidRPr="00983547">
        <w:rPr>
          <w:rStyle w:val="BodyTextChar"/>
          <w:rFonts w:ascii="Verdana" w:hAnsi="Verdana"/>
          <w:i/>
          <w:iCs/>
          <w:sz w:val="20"/>
        </w:rPr>
        <w:t xml:space="preserve"> End:</w:t>
      </w:r>
      <w:r w:rsidRPr="00983547">
        <w:rPr>
          <w:rStyle w:val="BodyTextChar"/>
          <w:rFonts w:ascii="Verdana" w:hAnsi="Verdana"/>
          <w:sz w:val="20"/>
        </w:rPr>
        <w:t xml:space="preserve"> “Not starlike—tsarlike” </w:t>
      </w:r>
      <w:r w:rsidRPr="00983547">
        <w:rPr>
          <w:rStyle w:val="BodyTextChar"/>
          <w:rFonts w:ascii="Verdana" w:hAnsi="Verdana"/>
          <w:i/>
          <w:iCs/>
          <w:sz w:val="20"/>
        </w:rPr>
        <w:t>(Ne barstvenen—</w:t>
      </w:r>
      <w:r w:rsidRPr="00983547">
        <w:rPr>
          <w:rStyle w:val="BodyTextChar"/>
          <w:rFonts w:ascii="Verdana" w:hAnsi="Verdana"/>
          <w:i/>
          <w:iCs/>
          <w:sz w:val="20"/>
        </w:rPr>
        <w:lastRenderedPageBreak/>
        <w:t>tsarstvenen).</w:t>
      </w:r>
      <w:r w:rsidRPr="00983547">
        <w:rPr>
          <w:rStyle w:val="BodyTextChar"/>
          <w:rFonts w:ascii="Verdana" w:hAnsi="Verdana"/>
          <w:sz w:val="20"/>
        </w:rPr>
        <w:t xml:space="preserve"> Let us now try to imagine what space this would have taken in Chekhov. At the same time, this is not a result of intentional economy—of paper, words, or effort—but a by-product of the poet</w:t>
      </w:r>
      <w:r>
        <w:rPr>
          <w:rStyle w:val="BodyTextChar"/>
          <w:rFonts w:ascii="Verdana" w:hAnsi="Verdana"/>
          <w:sz w:val="20"/>
        </w:rPr>
        <w:t>’s</w:t>
      </w:r>
      <w:r w:rsidRPr="00983547">
        <w:rPr>
          <w:rStyle w:val="BodyTextChar"/>
          <w:rFonts w:ascii="Verdana" w:hAnsi="Verdana"/>
          <w:sz w:val="20"/>
        </w:rPr>
        <w:t xml:space="preserve"> instinctive laconism.</w:t>
      </w:r>
    </w:p>
    <w:p w14:paraId="391A9797"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Extending poetry into prose, Tsvetaeva does not obliter</w:t>
      </w:r>
      <w:r w:rsidRPr="00983547">
        <w:rPr>
          <w:rStyle w:val="BodyTextChar"/>
          <w:rFonts w:ascii="Verdana" w:hAnsi="Verdana"/>
          <w:sz w:val="20"/>
        </w:rPr>
        <w:softHyphen/>
        <w:t>ate the boundary existing between them in the popular consciousness; instead, she shifts it into hitherto syntac</w:t>
      </w:r>
      <w:r w:rsidRPr="00983547">
        <w:rPr>
          <w:rStyle w:val="BodyTextChar"/>
          <w:rFonts w:ascii="Verdana" w:hAnsi="Verdana"/>
          <w:sz w:val="20"/>
        </w:rPr>
        <w:softHyphen/>
        <w:t>tically inaccessible linguistic spheres—upward. And prose, where the danger of a stylistic dead end is much greater than in poetry, only benefits from this shift: there, in the rarefied air of her syntax, Tsvetaeva imparts to it an accel</w:t>
      </w:r>
      <w:r w:rsidRPr="00983547">
        <w:rPr>
          <w:rStyle w:val="BodyTextChar"/>
          <w:rFonts w:ascii="Verdana" w:hAnsi="Verdana"/>
          <w:sz w:val="20"/>
        </w:rPr>
        <w:softHyphen/>
        <w:t xml:space="preserve">eration that leads to a change in the very notion of inertia. “Telegraphic style,” “stream of consciousness,” “the art of subtext,” and so forth, bear no relation to the above. The works of her contemporaries, not to mention authors of subsequent decades whose production begs for such </w:t>
      </w:r>
      <w:r w:rsidRPr="00983547">
        <w:rPr>
          <w:rStyle w:val="BodyTextChar"/>
          <w:rFonts w:ascii="Verdana" w:hAnsi="Verdana"/>
          <w:sz w:val="20"/>
          <w:lang w:eastAsia="fr-FR" w:bidi="fr-FR"/>
        </w:rPr>
        <w:t>defini</w:t>
      </w:r>
      <w:r w:rsidRPr="00983547">
        <w:rPr>
          <w:rStyle w:val="BodyTextChar"/>
          <w:rFonts w:ascii="Verdana" w:hAnsi="Verdana"/>
          <w:sz w:val="20"/>
          <w:lang w:eastAsia="fr-FR" w:bidi="fr-FR"/>
        </w:rPr>
        <w:softHyphen/>
      </w:r>
      <w:r w:rsidRPr="00983547">
        <w:rPr>
          <w:rStyle w:val="BodyTextChar"/>
          <w:rFonts w:ascii="Verdana" w:hAnsi="Verdana"/>
          <w:sz w:val="20"/>
        </w:rPr>
        <w:t>tions, can be read seriously mainly for nostalgic reasons, or else for literary history (which is about the same) considerations. The literature created by Tsvetaeva is a literature of</w:t>
      </w:r>
      <w:r>
        <w:rPr>
          <w:rStyle w:val="BodyTextChar"/>
          <w:rFonts w:ascii="Verdana" w:hAnsi="Verdana"/>
          <w:sz w:val="20"/>
        </w:rPr>
        <w:t xml:space="preserve"> “</w:t>
      </w:r>
      <w:r w:rsidRPr="00983547">
        <w:rPr>
          <w:rStyle w:val="BodyTextChar"/>
          <w:rFonts w:ascii="Verdana" w:hAnsi="Verdana"/>
          <w:sz w:val="20"/>
        </w:rPr>
        <w:t>supertext”; if her consciousness</w:t>
      </w:r>
      <w:r>
        <w:rPr>
          <w:rStyle w:val="BodyTextChar"/>
          <w:rFonts w:ascii="Verdana" w:hAnsi="Verdana"/>
          <w:sz w:val="20"/>
        </w:rPr>
        <w:t xml:space="preserve"> “</w:t>
      </w:r>
      <w:r w:rsidRPr="00983547">
        <w:rPr>
          <w:rStyle w:val="BodyTextChar"/>
          <w:rFonts w:ascii="Verdana" w:hAnsi="Verdana"/>
          <w:sz w:val="20"/>
        </w:rPr>
        <w:t>streams,” it follows a channel of ethics. The only way in which her style approaches the telegraphic is through her principal punctu</w:t>
      </w:r>
      <w:r w:rsidRPr="00983547">
        <w:rPr>
          <w:rStyle w:val="BodyTextChar"/>
          <w:rFonts w:ascii="Verdana" w:hAnsi="Verdana"/>
          <w:sz w:val="20"/>
        </w:rPr>
        <w:softHyphen/>
        <w:t>ation mark, the dash, identifying proximity of phenomena as well as leaps across the self-evident. That dash does serve one more purpose, though: it crosses out a great deal in Russian literature of the twentieth century.</w:t>
      </w:r>
    </w:p>
    <w:p w14:paraId="4C363D1E" w14:textId="77777777" w:rsidR="00F47E95" w:rsidRPr="00983547" w:rsidRDefault="00F47E95" w:rsidP="003F0F17">
      <w:pPr>
        <w:suppressAutoHyphens/>
        <w:spacing w:after="0"/>
        <w:ind w:firstLine="283"/>
        <w:jc w:val="both"/>
        <w:rPr>
          <w:rFonts w:ascii="Verdana" w:hAnsi="Verdana"/>
          <w:sz w:val="20"/>
        </w:rPr>
      </w:pPr>
    </w:p>
    <w:p w14:paraId="57D389C1" w14:textId="77777777" w:rsidR="00F47E95" w:rsidRDefault="00F47E95" w:rsidP="003F0F17">
      <w:pPr>
        <w:pStyle w:val="BodyText"/>
        <w:suppressAutoHyphens/>
        <w:spacing w:after="0" w:line="240" w:lineRule="auto"/>
        <w:jc w:val="both"/>
        <w:rPr>
          <w:rStyle w:val="BodyTextChar"/>
          <w:rFonts w:ascii="Verdana" w:hAnsi="Verdana"/>
          <w:sz w:val="20"/>
        </w:rPr>
      </w:pPr>
    </w:p>
    <w:p w14:paraId="6958937E" w14:textId="77777777" w:rsidR="00F47E95" w:rsidRPr="00983547" w:rsidRDefault="00F47E95" w:rsidP="003F0F17">
      <w:pPr>
        <w:pStyle w:val="BodyText"/>
        <w:suppressAutoHyphens/>
        <w:spacing w:after="0" w:line="240" w:lineRule="auto"/>
        <w:jc w:val="both"/>
        <w:rPr>
          <w:rFonts w:ascii="Verdana" w:hAnsi="Verdana"/>
          <w:sz w:val="20"/>
        </w:rPr>
      </w:pPr>
      <w:r w:rsidRPr="00983547">
        <w:rPr>
          <w:rStyle w:val="BodyTextChar"/>
          <w:rFonts w:ascii="Verdana" w:hAnsi="Verdana"/>
          <w:sz w:val="20"/>
        </w:rPr>
        <w:t>2</w:t>
      </w:r>
    </w:p>
    <w:p w14:paraId="061F3593" w14:textId="77777777" w:rsidR="00F47E95" w:rsidRPr="00983547" w:rsidRDefault="00F47E95" w:rsidP="003F0F17">
      <w:pPr>
        <w:suppressAutoHyphens/>
        <w:spacing w:after="0"/>
        <w:ind w:firstLine="283"/>
        <w:jc w:val="both"/>
        <w:rPr>
          <w:rFonts w:ascii="Verdana" w:hAnsi="Verdana"/>
          <w:sz w:val="20"/>
        </w:rPr>
      </w:pPr>
    </w:p>
    <w:p w14:paraId="7656F1FC"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"Marina often begins a poem on high C,” Anna Akhmatova said. The same thing can be said, to a certain degree, about Tsvetaeva</w:t>
      </w:r>
      <w:r>
        <w:rPr>
          <w:rStyle w:val="BodyTextChar"/>
          <w:rFonts w:ascii="Verdana" w:hAnsi="Verdana"/>
          <w:sz w:val="20"/>
        </w:rPr>
        <w:t>’s</w:t>
      </w:r>
      <w:r w:rsidRPr="00983547">
        <w:rPr>
          <w:rStyle w:val="BodyTextChar"/>
          <w:rFonts w:ascii="Verdana" w:hAnsi="Verdana"/>
          <w:sz w:val="20"/>
        </w:rPr>
        <w:t xml:space="preserve"> intonation in prose as well. Such was the char</w:t>
      </w:r>
      <w:r w:rsidRPr="00983547">
        <w:rPr>
          <w:rStyle w:val="BodyTextChar"/>
          <w:rFonts w:ascii="Verdana" w:hAnsi="Verdana"/>
          <w:sz w:val="20"/>
        </w:rPr>
        <w:softHyphen/>
        <w:t xml:space="preserve">acter of her voice that her speech almost always begins at the other end of the octave, in the highest register, at its uppermost limit, after which only descent or, at best, a plateau is conceivable. However, the timbre of her voice was so tragic that it ensured a sensation of rising no matter how long the sound lasted. This tragic quality was not exactly a product of her life experience; it existed prior to it. Her experience only coincided with it, responded to it, like an echo. This timbre is already clearly distinguishable in her </w:t>
      </w:r>
      <w:r w:rsidRPr="00983547">
        <w:rPr>
          <w:rStyle w:val="BodyTextChar"/>
          <w:rFonts w:ascii="Verdana" w:hAnsi="Verdana"/>
          <w:i/>
          <w:iCs/>
          <w:sz w:val="20"/>
        </w:rPr>
        <w:t>Juvenilia</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a collection of lyrics written between 1913 and 1915)</w:t>
      </w:r>
      <w:r>
        <w:rPr>
          <w:rStyle w:val="BodyTextChar"/>
          <w:rFonts w:ascii="Verdana" w:hAnsi="Verdana"/>
          <w:sz w:val="20"/>
        </w:rPr>
        <w:t>:</w:t>
      </w:r>
    </w:p>
    <w:p w14:paraId="008E497C" w14:textId="77777777" w:rsidR="00F47E95" w:rsidRPr="00983547" w:rsidRDefault="00F47E95" w:rsidP="003F0F17">
      <w:pPr>
        <w:suppressAutoHyphens/>
        <w:spacing w:after="0"/>
        <w:ind w:firstLine="283"/>
        <w:jc w:val="both"/>
        <w:rPr>
          <w:rFonts w:ascii="Verdana" w:hAnsi="Verdana"/>
          <w:sz w:val="20"/>
        </w:rPr>
      </w:pPr>
    </w:p>
    <w:p w14:paraId="6DA5D41D" w14:textId="77777777" w:rsidR="00F47E95" w:rsidRDefault="00F47E95" w:rsidP="003F0F17">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Lines of my poetry, so early written</w:t>
      </w:r>
    </w:p>
    <w:p w14:paraId="0DC753FA"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That I knew not I was a poet yet</w:t>
      </w:r>
      <w:r>
        <w:rPr>
          <w:rStyle w:val="BodyTextChar"/>
          <w:rFonts w:ascii="Verdana" w:hAnsi="Verdana"/>
          <w:i/>
          <w:iCs/>
          <w:sz w:val="20"/>
        </w:rPr>
        <w:t> . . .</w:t>
      </w:r>
    </w:p>
    <w:p w14:paraId="32ED4B01" w14:textId="77777777" w:rsidR="00F47E95" w:rsidRPr="00983547" w:rsidRDefault="00F47E95" w:rsidP="003F0F17">
      <w:pPr>
        <w:suppressAutoHyphens/>
        <w:spacing w:after="0"/>
        <w:ind w:firstLine="283"/>
        <w:jc w:val="both"/>
        <w:rPr>
          <w:rFonts w:ascii="Verdana" w:hAnsi="Verdana"/>
          <w:sz w:val="20"/>
        </w:rPr>
      </w:pPr>
    </w:p>
    <w:p w14:paraId="54632D25"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already, is not so much an accounting as a discount</w:t>
      </w:r>
      <w:r w:rsidRPr="00983547">
        <w:rPr>
          <w:rStyle w:val="BodyTextChar"/>
          <w:rFonts w:ascii="Verdana" w:hAnsi="Verdana"/>
          <w:sz w:val="20"/>
        </w:rPr>
        <w:softHyphen/>
        <w:t>ing of oneself. Her life experience could do nothing but follow the voice, permanently lagging behind it, for the voice was overtaking events—after all, it had the speed of sound. On the whole, experience always lags behind antici</w:t>
      </w:r>
      <w:r w:rsidRPr="00983547">
        <w:rPr>
          <w:rStyle w:val="BodyTextChar"/>
          <w:rFonts w:ascii="Verdana" w:hAnsi="Verdana"/>
          <w:sz w:val="20"/>
        </w:rPr>
        <w:softHyphen/>
        <w:t>pation.</w:t>
      </w:r>
    </w:p>
    <w:p w14:paraId="7BC7BEBA"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Yet the issue here is not only that of experience lagging behind anticipation; it is a question of the differences be</w:t>
      </w:r>
      <w:r w:rsidRPr="00983547">
        <w:rPr>
          <w:rStyle w:val="BodyTextChar"/>
          <w:rFonts w:ascii="Verdana" w:hAnsi="Verdana"/>
          <w:sz w:val="20"/>
        </w:rPr>
        <w:softHyphen/>
        <w:t>tween art and reality. One of them is that in art, owing to the properties of the material itself, it is possible to attain a degree of lyricism that has no physical equivalent in the real world. Nor, in the same way, does there exist in the real world an equivalent of the tragic in art, which (the tragic) is the reverse of lyricism—or the stage that follows it. No matter how dramatic a person</w:t>
      </w:r>
      <w:r>
        <w:rPr>
          <w:rStyle w:val="BodyTextChar"/>
          <w:rFonts w:ascii="Verdana" w:hAnsi="Verdana"/>
          <w:sz w:val="20"/>
        </w:rPr>
        <w:t>’s</w:t>
      </w:r>
      <w:r w:rsidRPr="00983547">
        <w:rPr>
          <w:rStyle w:val="BodyTextChar"/>
          <w:rFonts w:ascii="Verdana" w:hAnsi="Verdana"/>
          <w:sz w:val="20"/>
        </w:rPr>
        <w:t xml:space="preserve"> direct experience is, it is always exceeded by the experience of an instrument. Yet a poet is a combination of an instrument and a human being in one person, with the former gradually taking over the latter. The sensation of this takeover is responsible for timbre; the realization of it, for destiny.</w:t>
      </w:r>
    </w:p>
    <w:p w14:paraId="38ECE10E"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Perhaps this may partly explain why a poet turns to prose, especially to autobiographical prose. In Tsvetaeva</w:t>
      </w:r>
      <w:r>
        <w:rPr>
          <w:rStyle w:val="BodyTextChar"/>
          <w:rFonts w:ascii="Verdana" w:hAnsi="Verdana"/>
          <w:sz w:val="20"/>
        </w:rPr>
        <w:t>’s</w:t>
      </w:r>
      <w:r w:rsidRPr="00983547">
        <w:rPr>
          <w:rStyle w:val="BodyTextChar"/>
          <w:rFonts w:ascii="Verdana" w:hAnsi="Verdana"/>
          <w:sz w:val="20"/>
        </w:rPr>
        <w:t xml:space="preserve"> case, it is certainly not an attempt to reset history—too late for that; it is, rather, a withdrawal from reality into prehistory, into childhood. However, this is not the</w:t>
      </w:r>
      <w:r>
        <w:rPr>
          <w:rStyle w:val="BodyTextChar"/>
          <w:rFonts w:ascii="Verdana" w:hAnsi="Verdana"/>
          <w:sz w:val="20"/>
        </w:rPr>
        <w:t xml:space="preserve"> “</w:t>
      </w:r>
      <w:r w:rsidRPr="00983547">
        <w:rPr>
          <w:rStyle w:val="BodyTextChar"/>
          <w:rFonts w:ascii="Verdana" w:hAnsi="Verdana"/>
          <w:sz w:val="20"/>
        </w:rPr>
        <w:t>when-nothing-is</w:t>
      </w:r>
      <w:r>
        <w:rPr>
          <w:rStyle w:val="BodyTextChar"/>
          <w:rFonts w:ascii="Verdana" w:hAnsi="Verdana"/>
          <w:sz w:val="20"/>
        </w:rPr>
        <w:t>-</w:t>
      </w:r>
      <w:r w:rsidRPr="00983547">
        <w:rPr>
          <w:rStyle w:val="BodyTextChar"/>
          <w:rFonts w:ascii="Verdana" w:hAnsi="Verdana"/>
          <w:sz w:val="20"/>
        </w:rPr>
        <w:t>known-yet” childhood of a certified memoirist. It is the</w:t>
      </w:r>
      <w:r>
        <w:rPr>
          <w:rStyle w:val="BodyTextChar"/>
          <w:rFonts w:ascii="Verdana" w:hAnsi="Verdana"/>
          <w:sz w:val="20"/>
        </w:rPr>
        <w:t xml:space="preserve"> “</w:t>
      </w:r>
      <w:r w:rsidRPr="00983547">
        <w:rPr>
          <w:rStyle w:val="BodyTextChar"/>
          <w:rFonts w:ascii="Verdana" w:hAnsi="Verdana"/>
          <w:sz w:val="20"/>
        </w:rPr>
        <w:t>when-everything-is-already-known” but</w:t>
      </w:r>
      <w:r>
        <w:rPr>
          <w:rStyle w:val="BodyTextChar"/>
          <w:rFonts w:ascii="Verdana" w:hAnsi="Verdana"/>
          <w:sz w:val="20"/>
        </w:rPr>
        <w:t xml:space="preserve"> “</w:t>
      </w:r>
      <w:r w:rsidRPr="00983547">
        <w:rPr>
          <w:rStyle w:val="BodyTextChar"/>
          <w:rFonts w:ascii="Verdana" w:hAnsi="Verdana"/>
          <w:sz w:val="20"/>
        </w:rPr>
        <w:t>nothing-has-be</w:t>
      </w:r>
      <w:r w:rsidRPr="00983547">
        <w:rPr>
          <w:rStyle w:val="BodyTextChar"/>
          <w:rFonts w:ascii="Verdana" w:hAnsi="Verdana"/>
          <w:sz w:val="20"/>
        </w:rPr>
        <w:softHyphen/>
        <w:t>gun-yet” childhood of the mature poet caught up in the middle of her life by a brutal era. Autobiographical prose</w:t>
      </w:r>
      <w:r>
        <w:rPr>
          <w:rStyle w:val="BodyTextChar"/>
          <w:rFonts w:ascii="Verdana" w:hAnsi="Verdana"/>
          <w:sz w:val="20"/>
        </w:rPr>
        <w:t>—</w:t>
      </w:r>
      <w:r w:rsidRPr="00983547">
        <w:rPr>
          <w:rStyle w:val="BodyTextChar"/>
          <w:rFonts w:ascii="Verdana" w:hAnsi="Verdana"/>
          <w:sz w:val="20"/>
        </w:rPr>
        <w:t>prose in general—in this case is just a breather. Like any respite, it is lyrical and temporary. (This sensation—of</w:t>
      </w:r>
      <w:r>
        <w:rPr>
          <w:rStyle w:val="BodyTextChar"/>
          <w:rFonts w:ascii="Verdana" w:hAnsi="Verdana"/>
          <w:sz w:val="20"/>
        </w:rPr>
        <w:t xml:space="preserve"> </w:t>
      </w:r>
      <w:r w:rsidRPr="00983547">
        <w:rPr>
          <w:rStyle w:val="BodyTextChar"/>
          <w:rFonts w:ascii="Verdana" w:hAnsi="Verdana"/>
          <w:sz w:val="20"/>
        </w:rPr>
        <w:t xml:space="preserve">respite and its accompanying qualities—is quite evident in most of her essays on literature, along with the strong autobiographical element. Because of it, her essays prove to be “literature within </w:t>
      </w:r>
      <w:r w:rsidRPr="00983547">
        <w:rPr>
          <w:rStyle w:val="BodyTextChar"/>
          <w:rFonts w:ascii="Verdana" w:hAnsi="Verdana"/>
          <w:sz w:val="20"/>
        </w:rPr>
        <w:lastRenderedPageBreak/>
        <w:t>literature” to a much greater extent than all modern “textual criticism of text.”) In essence, all of Tsvetaeva</w:t>
      </w:r>
      <w:r>
        <w:rPr>
          <w:rStyle w:val="BodyTextChar"/>
          <w:rFonts w:ascii="Verdana" w:hAnsi="Verdana"/>
          <w:sz w:val="20"/>
        </w:rPr>
        <w:t>’s</w:t>
      </w:r>
      <w:r w:rsidRPr="00983547">
        <w:rPr>
          <w:rStyle w:val="BodyTextChar"/>
          <w:rFonts w:ascii="Verdana" w:hAnsi="Verdana"/>
          <w:sz w:val="20"/>
        </w:rPr>
        <w:t xml:space="preserve"> prose, except for her diary entries, is retro</w:t>
      </w:r>
      <w:r w:rsidRPr="00983547">
        <w:rPr>
          <w:rStyle w:val="BodyTextChar"/>
          <w:rFonts w:ascii="Verdana" w:hAnsi="Verdana"/>
          <w:sz w:val="20"/>
        </w:rPr>
        <w:softHyphen/>
        <w:t>spective, for only after taking a glance backward is it pos</w:t>
      </w:r>
      <w:r w:rsidRPr="00983547">
        <w:rPr>
          <w:rStyle w:val="BodyTextChar"/>
          <w:rFonts w:ascii="Verdana" w:hAnsi="Verdana"/>
          <w:sz w:val="20"/>
        </w:rPr>
        <w:softHyphen/>
        <w:t>sible to pause for breath.</w:t>
      </w:r>
    </w:p>
    <w:p w14:paraId="728296BF"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role of detail in this kind of prose thus becomes similar to the role of the very flow of the prose itself, slack</w:t>
      </w:r>
      <w:r w:rsidRPr="00983547">
        <w:rPr>
          <w:rStyle w:val="BodyTextChar"/>
          <w:rFonts w:ascii="Verdana" w:hAnsi="Verdana"/>
          <w:sz w:val="20"/>
        </w:rPr>
        <w:softHyphen/>
        <w:t>ened in comparison with poetic speech. This role is purely therapeutic; it is the role of a straw at which we all know who clutches. The more detailed the description, the more obvious the need for the straw. In general: the more a work of this kind is constructed in the “Turgenev mode,” the more avant-garde are the author</w:t>
      </w:r>
      <w:r>
        <w:rPr>
          <w:rStyle w:val="BodyTextChar"/>
          <w:rFonts w:ascii="Verdana" w:hAnsi="Verdana"/>
          <w:sz w:val="20"/>
        </w:rPr>
        <w:t>’s</w:t>
      </w:r>
      <w:r w:rsidRPr="00983547">
        <w:rPr>
          <w:rStyle w:val="BodyTextChar"/>
          <w:rFonts w:ascii="Verdana" w:hAnsi="Verdana"/>
          <w:sz w:val="20"/>
        </w:rPr>
        <w:t xml:space="preserve"> own “modifiers” of time, place, and manner. Even the punctuation takes on an added burden. Thus, a period that completes a narrative denotes its physical end, a boundary, a precipice plummet</w:t>
      </w:r>
      <w:r w:rsidRPr="00983547">
        <w:rPr>
          <w:rStyle w:val="BodyTextChar"/>
          <w:rFonts w:ascii="Verdana" w:hAnsi="Verdana"/>
          <w:sz w:val="20"/>
        </w:rPr>
        <w:softHyphen/>
        <w:t>ing into reality, into nonliterature. The unavoidability and proximity of this precipice, which are controlled by the narrative itself, make the author</w:t>
      </w:r>
      <w:r>
        <w:rPr>
          <w:rStyle w:val="BodyTextChar"/>
          <w:rFonts w:ascii="Verdana" w:hAnsi="Verdana"/>
          <w:sz w:val="20"/>
        </w:rPr>
        <w:t>’s</w:t>
      </w:r>
      <w:r w:rsidRPr="00983547">
        <w:rPr>
          <w:rStyle w:val="BodyTextChar"/>
          <w:rFonts w:ascii="Verdana" w:hAnsi="Verdana"/>
          <w:sz w:val="20"/>
        </w:rPr>
        <w:t xml:space="preserve"> striving for perfection within the allotted bounds ten times as great and, in part, even simplifies his task, forcing him to discard everything superfluous.</w:t>
      </w:r>
    </w:p>
    <w:p w14:paraId="16DE143A"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discarding of the superfluous is in itself the first cry of poetry—the beginning of the predominance of sound over reality, of essence over existence: the source of tragic consciousness. Along this path Tsvetaeva went farther than anyone in Russian and, it would seem, world literature. In Russian literature, at least, she has occupied a place ex</w:t>
      </w:r>
      <w:r w:rsidRPr="00983547">
        <w:rPr>
          <w:rStyle w:val="BodyTextChar"/>
          <w:rFonts w:ascii="Verdana" w:hAnsi="Verdana"/>
          <w:sz w:val="20"/>
        </w:rPr>
        <w:softHyphen/>
        <w:t>tremely apart from all—including the most remarkable</w:t>
      </w:r>
      <w:r>
        <w:rPr>
          <w:rStyle w:val="BodyTextChar"/>
          <w:rFonts w:ascii="Verdana" w:hAnsi="Verdana"/>
          <w:sz w:val="20"/>
        </w:rPr>
        <w:t>—</w:t>
      </w:r>
      <w:r w:rsidRPr="00983547">
        <w:rPr>
          <w:rStyle w:val="BodyTextChar"/>
          <w:rFonts w:ascii="Verdana" w:hAnsi="Verdana"/>
          <w:sz w:val="20"/>
        </w:rPr>
        <w:t>of her contemporaries, fenced off from them by a wall built of discarded excess. The only one who proves to be near her—and precisely as a prose writer—is Osip Mandelstam. The parallel relationship between Tsvetaeva and Mandel</w:t>
      </w:r>
      <w:r w:rsidRPr="00983547">
        <w:rPr>
          <w:rStyle w:val="BodyTextChar"/>
          <w:rFonts w:ascii="Verdana" w:hAnsi="Verdana"/>
          <w:sz w:val="20"/>
        </w:rPr>
        <w:softHyphen/>
        <w:t>stam as prose writers is indeed remarkable. Mandelstam</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The Noise of Time</w:t>
      </w:r>
      <w:r w:rsidRPr="00983547">
        <w:rPr>
          <w:rStyle w:val="BodyTextChar"/>
          <w:rFonts w:ascii="Verdana" w:hAnsi="Verdana"/>
          <w:sz w:val="20"/>
        </w:rPr>
        <w:t xml:space="preserve"> and </w:t>
      </w:r>
      <w:r w:rsidRPr="00983547">
        <w:rPr>
          <w:rStyle w:val="BodyTextChar"/>
          <w:rFonts w:ascii="Verdana" w:hAnsi="Verdana"/>
          <w:i/>
          <w:iCs/>
          <w:sz w:val="20"/>
        </w:rPr>
        <w:t>The Egyptian Stamp</w:t>
      </w:r>
      <w:r w:rsidRPr="00983547">
        <w:rPr>
          <w:rStyle w:val="BodyTextChar"/>
          <w:rFonts w:ascii="Verdana" w:hAnsi="Verdana"/>
          <w:sz w:val="20"/>
        </w:rPr>
        <w:t xml:space="preserve"> can be put on a par with Tsvetaeva</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Autobiographical Prose;</w:t>
      </w:r>
      <w:r w:rsidRPr="00983547">
        <w:rPr>
          <w:rStyle w:val="BodyTextChar"/>
          <w:rFonts w:ascii="Verdana" w:hAnsi="Verdana"/>
          <w:sz w:val="20"/>
        </w:rPr>
        <w:t xml:space="preserve"> his essays in </w:t>
      </w:r>
      <w:r w:rsidRPr="00983547">
        <w:rPr>
          <w:rStyle w:val="BodyTextChar"/>
          <w:rFonts w:ascii="Verdana" w:hAnsi="Verdana"/>
          <w:i/>
          <w:iCs/>
          <w:sz w:val="20"/>
        </w:rPr>
        <w:t>On Poetry</w:t>
      </w:r>
      <w:r w:rsidRPr="00983547">
        <w:rPr>
          <w:rStyle w:val="BodyTextChar"/>
          <w:rFonts w:ascii="Verdana" w:hAnsi="Verdana"/>
          <w:sz w:val="20"/>
        </w:rPr>
        <w:t xml:space="preserve"> and “A Conversation about Dante” with her literary essays; and Mandelstam</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Journey to Armenia</w:t>
      </w:r>
      <w:r w:rsidRPr="00983547">
        <w:rPr>
          <w:rStyle w:val="BodyTextChar"/>
          <w:rFonts w:ascii="Verdana" w:hAnsi="Verdana"/>
          <w:sz w:val="20"/>
        </w:rPr>
        <w:t xml:space="preserve"> and “Fourth Prose” with Tsvetaeva</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Pages from a Diary.</w:t>
      </w:r>
      <w:r w:rsidRPr="00983547">
        <w:rPr>
          <w:rStyle w:val="BodyTextChar"/>
          <w:rFonts w:ascii="Verdana" w:hAnsi="Verdana"/>
          <w:sz w:val="20"/>
        </w:rPr>
        <w:t xml:space="preserve"> The stylistic similarity—plotlessness, retrospectivity, linguistic and metaphorical density—is clearly even greater than the similarity of genre and theme, although Mandelstam is somewhat more traditional.</w:t>
      </w:r>
    </w:p>
    <w:p w14:paraId="60BAABD7"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would be a mistake, however, to try to explain this closeness of style and genre by the similarity of the two authors’ biographies or by the general climate of the era. Biographies are never known in advance, just as “climate” and “era” are strictly transitory notions. The basic element of similarity between the prose works of Tsvetaeva and Mandelstam is their purely linguistic oversaturation per</w:t>
      </w:r>
      <w:r w:rsidRPr="00983547">
        <w:rPr>
          <w:rStyle w:val="BodyTextChar"/>
          <w:rFonts w:ascii="Verdana" w:hAnsi="Verdana"/>
          <w:sz w:val="20"/>
        </w:rPr>
        <w:softHyphen/>
        <w:t>ceived as emotional oversaturation and quite often reflect</w:t>
      </w:r>
      <w:r w:rsidRPr="00983547">
        <w:rPr>
          <w:rStyle w:val="BodyTextChar"/>
          <w:rFonts w:ascii="Verdana" w:hAnsi="Verdana"/>
          <w:sz w:val="20"/>
        </w:rPr>
        <w:softHyphen/>
        <w:t xml:space="preserve">ing it. In the “thickness” of writing, density of images, sentence dynamics, they are so close that it is possible to suspect if not blood ties then cliquishness, adherence to the same </w:t>
      </w:r>
      <w:r w:rsidRPr="00983547">
        <w:rPr>
          <w:rStyle w:val="BodyTextChar"/>
          <w:rFonts w:ascii="Verdana" w:hAnsi="Verdana"/>
          <w:i/>
          <w:iCs/>
          <w:sz w:val="20"/>
        </w:rPr>
        <w:t>ism.</w:t>
      </w:r>
      <w:r w:rsidRPr="00983547">
        <w:rPr>
          <w:rStyle w:val="BodyTextChar"/>
          <w:rFonts w:ascii="Verdana" w:hAnsi="Verdana"/>
          <w:sz w:val="20"/>
        </w:rPr>
        <w:t xml:space="preserve"> But while Mandelstam was in fact an Ac</w:t>
      </w:r>
      <w:r w:rsidRPr="00983547">
        <w:rPr>
          <w:rStyle w:val="BodyTextChar"/>
          <w:rFonts w:ascii="Verdana" w:hAnsi="Verdana"/>
          <w:sz w:val="20"/>
        </w:rPr>
        <w:softHyphen/>
        <w:t>meist, Tsvetaeva never belonged to any group, and even the bravest of her critics never ventured so far as to attach a label to her. The key to the similarity between Tsvetaeva and Mandelstam in prose lies in the same place as the rea</w:t>
      </w:r>
      <w:r w:rsidRPr="00983547">
        <w:rPr>
          <w:rStyle w:val="BodyTextChar"/>
          <w:rFonts w:ascii="Verdana" w:hAnsi="Verdana"/>
          <w:sz w:val="20"/>
        </w:rPr>
        <w:softHyphen/>
        <w:t>son for their difference as poets: in their relation to lan</w:t>
      </w:r>
      <w:r w:rsidRPr="00983547">
        <w:rPr>
          <w:rStyle w:val="BodyTextChar"/>
          <w:rFonts w:ascii="Verdana" w:hAnsi="Verdana"/>
          <w:sz w:val="20"/>
        </w:rPr>
        <w:softHyphen/>
        <w:t>guage, or more precisely, in the degree of their dependence on the same.</w:t>
      </w:r>
    </w:p>
    <w:p w14:paraId="745F4ED7"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Poetry is not</w:t>
      </w:r>
      <w:r>
        <w:rPr>
          <w:rStyle w:val="BodyTextChar"/>
          <w:rFonts w:ascii="Verdana" w:hAnsi="Verdana"/>
          <w:sz w:val="20"/>
        </w:rPr>
        <w:t xml:space="preserve"> “</w:t>
      </w:r>
      <w:r w:rsidRPr="00983547">
        <w:rPr>
          <w:rStyle w:val="BodyTextChar"/>
          <w:rFonts w:ascii="Verdana" w:hAnsi="Verdana"/>
          <w:sz w:val="20"/>
        </w:rPr>
        <w:t>the best words in the best order”; for lan</w:t>
      </w:r>
      <w:r w:rsidRPr="00983547">
        <w:rPr>
          <w:rStyle w:val="BodyTextChar"/>
          <w:rFonts w:ascii="Verdana" w:hAnsi="Verdana"/>
          <w:sz w:val="20"/>
        </w:rPr>
        <w:softHyphen/>
        <w:t>guage it is the highest form of existence. In purely technical terms, of course, poetry amounts to arranging words with the greatest specific gravity in the most effective and ex</w:t>
      </w:r>
      <w:r w:rsidRPr="00983547">
        <w:rPr>
          <w:rStyle w:val="BodyTextChar"/>
          <w:rFonts w:ascii="Verdana" w:hAnsi="Verdana"/>
          <w:sz w:val="20"/>
        </w:rPr>
        <w:softHyphen/>
        <w:t>ternally inevitable sequence. Ideally, however, it is lan</w:t>
      </w:r>
      <w:r w:rsidRPr="00983547">
        <w:rPr>
          <w:rStyle w:val="BodyTextChar"/>
          <w:rFonts w:ascii="Verdana" w:hAnsi="Verdana"/>
          <w:sz w:val="20"/>
        </w:rPr>
        <w:softHyphen/>
        <w:t>guage negating its own mass and the laws of gravity; it is language</w:t>
      </w:r>
      <w:r>
        <w:rPr>
          <w:rStyle w:val="BodyTextChar"/>
          <w:rFonts w:ascii="Verdana" w:hAnsi="Verdana"/>
          <w:sz w:val="20"/>
        </w:rPr>
        <w:t>’s</w:t>
      </w:r>
      <w:r w:rsidRPr="00983547">
        <w:rPr>
          <w:rStyle w:val="BodyTextChar"/>
          <w:rFonts w:ascii="Verdana" w:hAnsi="Verdana"/>
          <w:sz w:val="20"/>
        </w:rPr>
        <w:t xml:space="preserve"> striving upward—or sideways—to that begin</w:t>
      </w:r>
      <w:r w:rsidRPr="00983547">
        <w:rPr>
          <w:rStyle w:val="BodyTextChar"/>
          <w:rFonts w:ascii="Verdana" w:hAnsi="Verdana"/>
          <w:sz w:val="20"/>
        </w:rPr>
        <w:softHyphen/>
        <w:t>ning where the Word was. In any case, it is movement of language into pre</w:t>
      </w:r>
      <w:r>
        <w:rPr>
          <w:rStyle w:val="BodyTextChar"/>
          <w:rFonts w:ascii="Verdana" w:hAnsi="Verdana"/>
          <w:sz w:val="20"/>
        </w:rPr>
        <w:t>-</w:t>
      </w:r>
      <w:r w:rsidRPr="00983547">
        <w:rPr>
          <w:rStyle w:val="BodyTextChar"/>
          <w:rFonts w:ascii="Verdana" w:hAnsi="Verdana"/>
          <w:sz w:val="20"/>
        </w:rPr>
        <w:t xml:space="preserve">(supra-) genre realms, that is, into the spheres from which it sprang. The seemingly most artificial forms for organizing poetic language—terza rima, sestinas, </w:t>
      </w:r>
      <w:r w:rsidRPr="00983547">
        <w:rPr>
          <w:rStyle w:val="BodyTextChar"/>
          <w:rFonts w:ascii="Verdana" w:hAnsi="Verdana"/>
          <w:sz w:val="20"/>
          <w:lang w:eastAsia="fr-FR" w:bidi="fr-FR"/>
        </w:rPr>
        <w:t xml:space="preserve">decimas, </w:t>
      </w:r>
      <w:r w:rsidRPr="00983547">
        <w:rPr>
          <w:rStyle w:val="BodyTextChar"/>
          <w:rFonts w:ascii="Verdana" w:hAnsi="Verdana"/>
          <w:sz w:val="20"/>
        </w:rPr>
        <w:t>and so forth—are in fact nothing more than a natural, reiterative, fully detailed elaboration of the echo that followed the original Word. Consequently, Mandel</w:t>
      </w:r>
      <w:r w:rsidRPr="00983547">
        <w:rPr>
          <w:rStyle w:val="BodyTextChar"/>
          <w:rFonts w:ascii="Verdana" w:hAnsi="Verdana"/>
          <w:sz w:val="20"/>
        </w:rPr>
        <w:softHyphen/>
        <w:t>stam, outwardly a more formal poet than Tsvetaeva, needed prose that spared him from echo, from the power of re</w:t>
      </w:r>
      <w:r w:rsidRPr="00983547">
        <w:rPr>
          <w:rStyle w:val="BodyTextChar"/>
          <w:rFonts w:ascii="Verdana" w:hAnsi="Verdana"/>
          <w:sz w:val="20"/>
        </w:rPr>
        <w:softHyphen/>
        <w:t>peated sound, not a whit less than she did, with her ex</w:t>
      </w:r>
      <w:r>
        <w:rPr>
          <w:rStyle w:val="BodyTextChar"/>
          <w:rFonts w:ascii="Verdana" w:hAnsi="Verdana"/>
          <w:sz w:val="20"/>
        </w:rPr>
        <w:t>-</w:t>
      </w:r>
      <w:r w:rsidRPr="00983547">
        <w:rPr>
          <w:rStyle w:val="BodyTextChar"/>
          <w:rFonts w:ascii="Verdana" w:hAnsi="Verdana"/>
          <w:sz w:val="20"/>
        </w:rPr>
        <w:t>trastanzaic—on the whole, extraverse—thinking, and with her principal strength lying in the subordinate clause, in word-root dialectics.</w:t>
      </w:r>
    </w:p>
    <w:p w14:paraId="076071FD"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Any uttered word requires some sort of continuation. It can be continued in various ways: logically, phonetically, grammatically, in rhyme. This is the way a language de</w:t>
      </w:r>
      <w:r w:rsidRPr="00983547">
        <w:rPr>
          <w:rStyle w:val="BodyTextChar"/>
          <w:rFonts w:ascii="Verdana" w:hAnsi="Verdana"/>
          <w:sz w:val="20"/>
        </w:rPr>
        <w:softHyphen/>
        <w:t>velops, and if not logic, then phonetics indicates that lan</w:t>
      </w:r>
      <w:r w:rsidRPr="00983547">
        <w:rPr>
          <w:rStyle w:val="BodyTextChar"/>
          <w:rFonts w:ascii="Verdana" w:hAnsi="Verdana"/>
          <w:sz w:val="20"/>
        </w:rPr>
        <w:softHyphen/>
        <w:t xml:space="preserve">guage needs development. For what has been uttered is never the end but the edge of speech, which—owing to the existence of time—is always followed by something. And what follows is always more </w:t>
      </w:r>
      <w:r w:rsidRPr="00983547">
        <w:rPr>
          <w:rStyle w:val="BodyTextChar"/>
          <w:rFonts w:ascii="Verdana" w:hAnsi="Verdana"/>
          <w:sz w:val="20"/>
        </w:rPr>
        <w:lastRenderedPageBreak/>
        <w:t>interesting than what has</w:t>
      </w:r>
      <w:r>
        <w:rPr>
          <w:rStyle w:val="BodyTextChar"/>
          <w:rFonts w:ascii="Verdana" w:hAnsi="Verdana"/>
          <w:sz w:val="20"/>
        </w:rPr>
        <w:t xml:space="preserve"> </w:t>
      </w:r>
      <w:r w:rsidRPr="00983547">
        <w:rPr>
          <w:rStyle w:val="BodyTextChar"/>
          <w:rFonts w:ascii="Verdana" w:hAnsi="Verdana"/>
          <w:sz w:val="20"/>
        </w:rPr>
        <w:t>already been said—and no longer on account of time but, rather, in spite of it. Such is the logic of speech, and such is the basis of Tsvetaeva</w:t>
      </w:r>
      <w:r>
        <w:rPr>
          <w:rStyle w:val="BodyTextChar"/>
          <w:rFonts w:ascii="Verdana" w:hAnsi="Verdana"/>
          <w:sz w:val="20"/>
        </w:rPr>
        <w:t>’s</w:t>
      </w:r>
      <w:r w:rsidRPr="00983547">
        <w:rPr>
          <w:rStyle w:val="BodyTextChar"/>
          <w:rFonts w:ascii="Verdana" w:hAnsi="Verdana"/>
          <w:sz w:val="20"/>
        </w:rPr>
        <w:t xml:space="preserve"> poetics. She never has enough space: either in a poem or in prose. Even her most scholarly</w:t>
      </w:r>
      <w:r>
        <w:rPr>
          <w:rStyle w:val="BodyTextChar"/>
          <w:rFonts w:ascii="Verdana" w:hAnsi="Verdana"/>
          <w:sz w:val="20"/>
        </w:rPr>
        <w:t>-</w:t>
      </w:r>
      <w:r w:rsidRPr="00983547">
        <w:rPr>
          <w:rStyle w:val="BodyTextChar"/>
          <w:rFonts w:ascii="Verdana" w:hAnsi="Verdana"/>
          <w:sz w:val="20"/>
        </w:rPr>
        <w:t>sounding essays are always like elbows protruding from a small room. A poem is constructed on the principle of the complex sentence; prose consists of grammatical enjamb</w:t>
      </w:r>
      <w:r w:rsidRPr="00983547">
        <w:rPr>
          <w:rStyle w:val="BodyTextChar"/>
          <w:rFonts w:ascii="Verdana" w:hAnsi="Verdana"/>
          <w:sz w:val="20"/>
        </w:rPr>
        <w:softHyphen/>
        <w:t>ments: that is how she escapes tautology. (For invention in prose plays the same role with respect to reality as rhyme in a poem.) The most awful thing about service to the Muses is precisely that it does not tolerate repetition</w:t>
      </w:r>
      <w:r>
        <w:rPr>
          <w:rStyle w:val="BodyTextChar"/>
          <w:rFonts w:ascii="Verdana" w:hAnsi="Verdana"/>
          <w:sz w:val="20"/>
        </w:rPr>
        <w:t>—</w:t>
      </w:r>
      <w:r w:rsidRPr="00983547">
        <w:rPr>
          <w:rStyle w:val="BodyTextChar"/>
          <w:rFonts w:ascii="Verdana" w:hAnsi="Verdana"/>
          <w:sz w:val="20"/>
        </w:rPr>
        <w:t>either of metaphor, subject, or device. In everyday life, to tell the same joke two or three times is not a crime. One cannot, however, allow oneself to do that on paper; lan</w:t>
      </w:r>
      <w:r w:rsidRPr="00983547">
        <w:rPr>
          <w:rStyle w:val="BodyTextChar"/>
          <w:rFonts w:ascii="Verdana" w:hAnsi="Verdana"/>
          <w:sz w:val="20"/>
        </w:rPr>
        <w:softHyphen/>
        <w:t xml:space="preserve">guage forces you to take the next step—at least stylistically. Not for the sake of your inner well-being, of course </w:t>
      </w:r>
      <w:r>
        <w:rPr>
          <w:rStyle w:val="BodyTextChar"/>
          <w:rFonts w:ascii="Verdana" w:hAnsi="Verdana"/>
          <w:sz w:val="20"/>
        </w:rPr>
        <w:t>(</w:t>
      </w:r>
      <w:r w:rsidRPr="00983547">
        <w:rPr>
          <w:rStyle w:val="BodyTextChar"/>
          <w:rFonts w:ascii="Verdana" w:hAnsi="Verdana"/>
          <w:sz w:val="20"/>
        </w:rPr>
        <w:t>though subsequently it does prove to be for its sake as well), but for the sake of language</w:t>
      </w:r>
      <w:r>
        <w:rPr>
          <w:rStyle w:val="BodyTextChar"/>
          <w:rFonts w:ascii="Verdana" w:hAnsi="Verdana"/>
          <w:sz w:val="20"/>
        </w:rPr>
        <w:t>’s</w:t>
      </w:r>
      <w:r w:rsidRPr="00983547">
        <w:rPr>
          <w:rStyle w:val="BodyTextChar"/>
          <w:rFonts w:ascii="Verdana" w:hAnsi="Verdana"/>
          <w:sz w:val="20"/>
        </w:rPr>
        <w:t xml:space="preserve"> own stereoscopic (-phonic) well</w:t>
      </w:r>
      <w:r w:rsidRPr="00983547">
        <w:rPr>
          <w:rStyle w:val="BodyTextChar"/>
          <w:rFonts w:ascii="Verdana" w:hAnsi="Verdana"/>
          <w:sz w:val="20"/>
        </w:rPr>
        <w:softHyphen/>
        <w:t xml:space="preserve">being. </w:t>
      </w:r>
      <w:r w:rsidRPr="00983547">
        <w:rPr>
          <w:rStyle w:val="BodyTextChar"/>
          <w:rFonts w:ascii="Verdana" w:hAnsi="Verdana"/>
          <w:sz w:val="20"/>
          <w:lang w:eastAsia="fr-FR" w:bidi="fr-FR"/>
        </w:rPr>
        <w:t xml:space="preserve">A cliché </w:t>
      </w:r>
      <w:r w:rsidRPr="00983547">
        <w:rPr>
          <w:rStyle w:val="BodyTextChar"/>
          <w:rFonts w:ascii="Verdana" w:hAnsi="Verdana"/>
          <w:sz w:val="20"/>
        </w:rPr>
        <w:t>is a safety valve by means of which art pro</w:t>
      </w:r>
      <w:r w:rsidRPr="00983547">
        <w:rPr>
          <w:rStyle w:val="BodyTextChar"/>
          <w:rFonts w:ascii="Verdana" w:hAnsi="Verdana"/>
          <w:sz w:val="20"/>
        </w:rPr>
        <w:softHyphen/>
        <w:t>tects itself from the danger of degeneration.</w:t>
      </w:r>
    </w:p>
    <w:p w14:paraId="1A01AF55"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more often a poet takes this next step, the more iso</w:t>
      </w:r>
      <w:r w:rsidRPr="00983547">
        <w:rPr>
          <w:rStyle w:val="BodyTextChar"/>
          <w:rFonts w:ascii="Verdana" w:hAnsi="Verdana"/>
          <w:sz w:val="20"/>
        </w:rPr>
        <w:softHyphen/>
        <w:t>lated a position he finds himself in. The process of elimina</w:t>
      </w:r>
      <w:r w:rsidRPr="00983547">
        <w:rPr>
          <w:rStyle w:val="BodyTextChar"/>
          <w:rFonts w:ascii="Verdana" w:hAnsi="Verdana"/>
          <w:sz w:val="20"/>
        </w:rPr>
        <w:softHyphen/>
        <w:t>tion, in the final analysis, usually turns against a person who overuses the method. And if we were not speaking of Tsve</w:t>
      </w:r>
      <w:r w:rsidRPr="00983547">
        <w:rPr>
          <w:rStyle w:val="BodyTextChar"/>
          <w:rFonts w:ascii="Verdana" w:hAnsi="Verdana"/>
          <w:sz w:val="20"/>
        </w:rPr>
        <w:softHyphen/>
        <w:t>taeva, it might be possible to see in a poet</w:t>
      </w:r>
      <w:r>
        <w:rPr>
          <w:rStyle w:val="BodyTextChar"/>
          <w:rFonts w:ascii="Verdana" w:hAnsi="Verdana"/>
          <w:sz w:val="20"/>
        </w:rPr>
        <w:t>’s</w:t>
      </w:r>
      <w:r w:rsidRPr="00983547">
        <w:rPr>
          <w:rStyle w:val="BodyTextChar"/>
          <w:rFonts w:ascii="Verdana" w:hAnsi="Verdana"/>
          <w:sz w:val="20"/>
        </w:rPr>
        <w:t xml:space="preserve"> turning to prose a kind of literary </w:t>
      </w:r>
      <w:r w:rsidRPr="00983547">
        <w:rPr>
          <w:rStyle w:val="BodyTextChar"/>
          <w:rFonts w:ascii="Verdana" w:hAnsi="Verdana"/>
          <w:i/>
          <w:iCs/>
          <w:sz w:val="20"/>
          <w:lang w:eastAsia="fr-FR" w:bidi="fr-FR"/>
        </w:rPr>
        <w:t>nostalgie de la boue,</w:t>
      </w:r>
      <w:r w:rsidRPr="00983547">
        <w:rPr>
          <w:rStyle w:val="BodyTextChar"/>
          <w:rFonts w:ascii="Verdana" w:hAnsi="Verdana"/>
          <w:sz w:val="20"/>
          <w:lang w:eastAsia="fr-FR" w:bidi="fr-FR"/>
        </w:rPr>
        <w:t xml:space="preserve"> </w:t>
      </w:r>
      <w:r w:rsidRPr="00983547">
        <w:rPr>
          <w:rStyle w:val="BodyTextChar"/>
          <w:rFonts w:ascii="Verdana" w:hAnsi="Verdana"/>
          <w:sz w:val="20"/>
        </w:rPr>
        <w:t>a desire to merge with the (writing) mass, to become, at last,</w:t>
      </w:r>
      <w:r>
        <w:rPr>
          <w:rStyle w:val="BodyTextChar"/>
          <w:rFonts w:ascii="Verdana" w:hAnsi="Verdana"/>
          <w:sz w:val="20"/>
        </w:rPr>
        <w:t xml:space="preserve"> “</w:t>
      </w:r>
      <w:r w:rsidRPr="00983547">
        <w:rPr>
          <w:rStyle w:val="BodyTextChar"/>
          <w:rFonts w:ascii="Verdana" w:hAnsi="Verdana"/>
          <w:sz w:val="20"/>
        </w:rPr>
        <w:t>like everyone else.” We are considering, however, a poet who knew from the very beginning what she was headed for, or—where language led. We are dealing with the author of the lines: “A poet starts his speaking from afar. / The speak</w:t>
      </w:r>
      <w:r w:rsidRPr="00983547">
        <w:rPr>
          <w:rStyle w:val="BodyTextChar"/>
          <w:rFonts w:ascii="Verdana" w:hAnsi="Verdana"/>
          <w:sz w:val="20"/>
        </w:rPr>
        <w:softHyphen/>
        <w:t>ing takes the speaker far</w:t>
      </w:r>
      <w:r>
        <w:rPr>
          <w:rStyle w:val="BodyTextChar"/>
          <w:rFonts w:ascii="Verdana" w:hAnsi="Verdana"/>
          <w:sz w:val="20"/>
        </w:rPr>
        <w:t> . . .</w:t>
      </w:r>
      <w:r w:rsidRPr="00983547">
        <w:rPr>
          <w:rStyle w:val="BodyTextChar"/>
          <w:rFonts w:ascii="Verdana" w:hAnsi="Verdana"/>
          <w:sz w:val="20"/>
        </w:rPr>
        <w:t>”</w:t>
      </w:r>
      <w:r w:rsidRPr="003F0F17">
        <w:rPr>
          <w:rStyle w:val="FootnoteReference"/>
          <w:rFonts w:ascii="Verdana" w:hAnsi="Verdana"/>
          <w:sz w:val="20"/>
        </w:rPr>
        <w:footnoteReference w:id="3"/>
      </w:r>
      <w:r w:rsidRPr="00983547">
        <w:rPr>
          <w:rStyle w:val="BodyTextChar"/>
          <w:rFonts w:ascii="Verdana" w:hAnsi="Verdana"/>
          <w:sz w:val="20"/>
        </w:rPr>
        <w:t xml:space="preserve"> We are dealing with the author of “The Pied Piper.” Prose for Tsvetaeva is by no means a refuge; it is not a form of emancipation—either psychological or stylistic. For her, prose is a witting ex</w:t>
      </w:r>
      <w:r w:rsidRPr="00983547">
        <w:rPr>
          <w:rStyle w:val="BodyTextChar"/>
          <w:rFonts w:ascii="Verdana" w:hAnsi="Verdana"/>
          <w:sz w:val="20"/>
        </w:rPr>
        <w:softHyphen/>
        <w:t>pansion of her sphere of isolation, that is, of the possibilities of language.</w:t>
      </w:r>
    </w:p>
    <w:p w14:paraId="4DB0211A" w14:textId="77777777" w:rsidR="00F47E95" w:rsidRPr="00983547" w:rsidRDefault="00F47E95" w:rsidP="003F0F17">
      <w:pPr>
        <w:suppressAutoHyphens/>
        <w:spacing w:after="0"/>
        <w:ind w:firstLine="283"/>
        <w:jc w:val="both"/>
        <w:rPr>
          <w:rFonts w:ascii="Verdana" w:hAnsi="Verdana"/>
          <w:sz w:val="20"/>
        </w:rPr>
      </w:pPr>
    </w:p>
    <w:p w14:paraId="78F2B863" w14:textId="77777777" w:rsidR="00F47E95" w:rsidRDefault="00F47E95" w:rsidP="003F0F17">
      <w:pPr>
        <w:pStyle w:val="Bodytext90"/>
        <w:widowControl/>
        <w:suppressAutoHyphens/>
        <w:spacing w:after="0" w:line="240" w:lineRule="auto"/>
        <w:ind w:firstLine="0"/>
        <w:jc w:val="both"/>
        <w:rPr>
          <w:rStyle w:val="Bodytext9"/>
          <w:rFonts w:ascii="Verdana" w:hAnsi="Verdana"/>
          <w:sz w:val="20"/>
        </w:rPr>
      </w:pPr>
    </w:p>
    <w:p w14:paraId="129894EB" w14:textId="77777777" w:rsidR="00F47E95" w:rsidRPr="00983547" w:rsidRDefault="00F47E95" w:rsidP="003F0F17">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3</w:t>
      </w:r>
    </w:p>
    <w:p w14:paraId="0295C508" w14:textId="77777777" w:rsidR="00F47E95" w:rsidRPr="00983547" w:rsidRDefault="00F47E95" w:rsidP="003F0F17">
      <w:pPr>
        <w:suppressAutoHyphens/>
        <w:spacing w:after="0"/>
        <w:ind w:firstLine="283"/>
        <w:jc w:val="both"/>
        <w:rPr>
          <w:rFonts w:ascii="Verdana" w:hAnsi="Verdana"/>
          <w:sz w:val="20"/>
        </w:rPr>
      </w:pPr>
    </w:p>
    <w:p w14:paraId="46B46639"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This is, in fact, the sole direction in which a self-respecting writer can move. (In essence, all existing art is already a cliche: precisely because it </w:t>
      </w:r>
      <w:r w:rsidRPr="00983547">
        <w:rPr>
          <w:rStyle w:val="BodyTextChar"/>
          <w:rFonts w:ascii="Verdana" w:hAnsi="Verdana"/>
          <w:i/>
          <w:iCs/>
          <w:sz w:val="20"/>
        </w:rPr>
        <w:t>already</w:t>
      </w:r>
      <w:r w:rsidRPr="00983547">
        <w:rPr>
          <w:rStyle w:val="BodyTextChar"/>
          <w:rFonts w:ascii="Verdana" w:hAnsi="Verdana"/>
          <w:sz w:val="20"/>
        </w:rPr>
        <w:t xml:space="preserve"> exists.) And insofar as literature is the linguistic equivalent of thinking, Tsvetaeva, taken extraordinarily far by speech, proves to be the most interesting thinker of her time. Any generalized descrip</w:t>
      </w:r>
      <w:r w:rsidRPr="00983547">
        <w:rPr>
          <w:rStyle w:val="BodyTextChar"/>
          <w:rFonts w:ascii="Verdana" w:hAnsi="Verdana"/>
          <w:sz w:val="20"/>
        </w:rPr>
        <w:softHyphen/>
        <w:t>tion of any person</w:t>
      </w:r>
      <w:r>
        <w:rPr>
          <w:rStyle w:val="BodyTextChar"/>
          <w:rFonts w:ascii="Verdana" w:hAnsi="Verdana"/>
          <w:sz w:val="20"/>
        </w:rPr>
        <w:t>’s</w:t>
      </w:r>
      <w:r w:rsidRPr="00983547">
        <w:rPr>
          <w:rStyle w:val="BodyTextChar"/>
          <w:rFonts w:ascii="Verdana" w:hAnsi="Verdana"/>
          <w:sz w:val="20"/>
        </w:rPr>
        <w:t xml:space="preserve"> views, especially if they have been expressed in artistic form, inevitably tends toward carica</w:t>
      </w:r>
      <w:r w:rsidRPr="00983547">
        <w:rPr>
          <w:rStyle w:val="BodyTextChar"/>
          <w:rFonts w:ascii="Verdana" w:hAnsi="Verdana"/>
          <w:sz w:val="20"/>
        </w:rPr>
        <w:softHyphen/>
        <w:t>ture; any attempt to approach analytically a phenomenon whose nature is synthetic is doomed by definition. Nonethe</w:t>
      </w:r>
      <w:r w:rsidRPr="00983547">
        <w:rPr>
          <w:rStyle w:val="BodyTextChar"/>
          <w:rFonts w:ascii="Verdana" w:hAnsi="Verdana"/>
          <w:sz w:val="20"/>
        </w:rPr>
        <w:softHyphen/>
        <w:t>less, without running any particular risk one can define Tsvetaeva</w:t>
      </w:r>
      <w:r>
        <w:rPr>
          <w:rStyle w:val="BodyTextChar"/>
          <w:rFonts w:ascii="Verdana" w:hAnsi="Verdana"/>
          <w:sz w:val="20"/>
        </w:rPr>
        <w:t>’s</w:t>
      </w:r>
      <w:r w:rsidRPr="00983547">
        <w:rPr>
          <w:rStyle w:val="BodyTextChar"/>
          <w:rFonts w:ascii="Verdana" w:hAnsi="Verdana"/>
          <w:sz w:val="20"/>
        </w:rPr>
        <w:t xml:space="preserve"> system of views as a philosophy of discomfort, as a plea for the cause not so much of borderline situations as of existence on the edge. This position can be called neither stoic—since it was dictated above all by reasons of an aesthetico-linguistic nature—nor existentialist—since it is precisely the denial of reality that makes up its substance. On a philosophical level there is no evidence of her having either forerunners or successors. As for contemporaries, if it were not for the absence of documentary evidence, it would</w:t>
      </w:r>
      <w:r>
        <w:rPr>
          <w:rStyle w:val="BodyTextChar"/>
          <w:rFonts w:ascii="Verdana" w:hAnsi="Verdana"/>
          <w:sz w:val="20"/>
        </w:rPr>
        <w:t xml:space="preserve"> </w:t>
      </w:r>
      <w:r w:rsidRPr="00983547">
        <w:rPr>
          <w:rStyle w:val="BodyTextChar"/>
          <w:rFonts w:ascii="Verdana" w:hAnsi="Verdana"/>
          <w:sz w:val="20"/>
        </w:rPr>
        <w:t>be natural to assume a thorough knowledge of Lev Shestov</w:t>
      </w:r>
      <w:r>
        <w:rPr>
          <w:rStyle w:val="BodyTextChar"/>
          <w:rFonts w:ascii="Verdana" w:hAnsi="Verdana"/>
          <w:sz w:val="20"/>
        </w:rPr>
        <w:t>’s</w:t>
      </w:r>
      <w:r w:rsidRPr="00983547">
        <w:rPr>
          <w:rStyle w:val="BodyTextChar"/>
          <w:rFonts w:ascii="Verdana" w:hAnsi="Verdana"/>
          <w:sz w:val="20"/>
        </w:rPr>
        <w:t xml:space="preserve"> works. There is no such evidence, alas; or the sum of it is quite insignificant. The only Russian thinker (or rather, ponderer) whose influence on her work—though only in its early stage—Marina Tsvetaeva openly acknowledged is Vasily Rozanov. But if indeed there was such influence, it should be recognized as strictly stylistic, however, since there is nothing more polar to Rozanov</w:t>
      </w:r>
      <w:r>
        <w:rPr>
          <w:rStyle w:val="BodyTextChar"/>
          <w:rFonts w:ascii="Verdana" w:hAnsi="Verdana"/>
          <w:sz w:val="20"/>
        </w:rPr>
        <w:t>’s</w:t>
      </w:r>
      <w:r w:rsidRPr="00983547">
        <w:rPr>
          <w:rStyle w:val="BodyTextChar"/>
          <w:rFonts w:ascii="Verdana" w:hAnsi="Verdana"/>
          <w:sz w:val="20"/>
        </w:rPr>
        <w:t xml:space="preserve"> lack of discrimina</w:t>
      </w:r>
      <w:r w:rsidRPr="00983547">
        <w:rPr>
          <w:rStyle w:val="BodyTextChar"/>
          <w:rFonts w:ascii="Verdana" w:hAnsi="Verdana"/>
          <w:sz w:val="20"/>
        </w:rPr>
        <w:softHyphen/>
        <w:t>tion than the brutal, at times almost Calvinistic, spirit of personal responsibility that pervades the work of the ma</w:t>
      </w:r>
      <w:r w:rsidRPr="00983547">
        <w:rPr>
          <w:rStyle w:val="BodyTextChar"/>
          <w:rFonts w:ascii="Verdana" w:hAnsi="Verdana"/>
          <w:sz w:val="20"/>
        </w:rPr>
        <w:softHyphen/>
        <w:t>ture Tsvetaeva.</w:t>
      </w:r>
    </w:p>
    <w:p w14:paraId="11C279E5"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Many things determine consciousness besides being</w:t>
      </w:r>
      <w:r w:rsidRPr="003F0F17">
        <w:rPr>
          <w:rStyle w:val="FootnoteReference"/>
          <w:rFonts w:ascii="Verdana" w:hAnsi="Verdana"/>
          <w:sz w:val="20"/>
        </w:rPr>
        <w:footnoteReference w:id="4"/>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the prospect of nonbeing, in particular). One of them is lan</w:t>
      </w:r>
      <w:r w:rsidRPr="00983547">
        <w:rPr>
          <w:rStyle w:val="BodyTextChar"/>
          <w:rFonts w:ascii="Verdana" w:hAnsi="Verdana"/>
          <w:sz w:val="20"/>
        </w:rPr>
        <w:softHyphen/>
        <w:t>guage. The self-pitilessness that makes one think of Calvin (and whose obverse is Tsvetaeva</w:t>
      </w:r>
      <w:r>
        <w:rPr>
          <w:rStyle w:val="BodyTextChar"/>
          <w:rFonts w:ascii="Verdana" w:hAnsi="Verdana"/>
          <w:sz w:val="20"/>
        </w:rPr>
        <w:t>’s</w:t>
      </w:r>
      <w:r w:rsidRPr="00983547">
        <w:rPr>
          <w:rStyle w:val="BodyTextChar"/>
          <w:rFonts w:ascii="Verdana" w:hAnsi="Verdana"/>
          <w:sz w:val="20"/>
        </w:rPr>
        <w:t xml:space="preserve"> often unwarranted gen</w:t>
      </w:r>
      <w:r w:rsidRPr="00983547">
        <w:rPr>
          <w:rStyle w:val="BodyTextChar"/>
          <w:rFonts w:ascii="Verdana" w:hAnsi="Verdana"/>
          <w:sz w:val="20"/>
        </w:rPr>
        <w:softHyphen/>
        <w:t>erosity in evaluating the work of her fellow writers) is not only the product of upbringing, but is—and this first of all—the reflection or continuation of the professional rela</w:t>
      </w:r>
      <w:r w:rsidRPr="00983547">
        <w:rPr>
          <w:rStyle w:val="BodyTextChar"/>
          <w:rFonts w:ascii="Verdana" w:hAnsi="Verdana"/>
          <w:sz w:val="20"/>
        </w:rPr>
        <w:softHyphen/>
        <w:t xml:space="preserve">tionship between the poet and her language. With regard to upbringing, however, it is important to remember that </w:t>
      </w:r>
      <w:r w:rsidRPr="00983547">
        <w:rPr>
          <w:rStyle w:val="BodyTextChar"/>
          <w:rFonts w:ascii="Verdana" w:hAnsi="Verdana"/>
          <w:sz w:val="20"/>
        </w:rPr>
        <w:lastRenderedPageBreak/>
        <w:t>Tsvetaeva</w:t>
      </w:r>
      <w:r>
        <w:rPr>
          <w:rStyle w:val="BodyTextChar"/>
          <w:rFonts w:ascii="Verdana" w:hAnsi="Verdana"/>
          <w:sz w:val="20"/>
        </w:rPr>
        <w:t>’s</w:t>
      </w:r>
      <w:r w:rsidRPr="00983547">
        <w:rPr>
          <w:rStyle w:val="BodyTextChar"/>
          <w:rFonts w:ascii="Verdana" w:hAnsi="Verdana"/>
          <w:sz w:val="20"/>
        </w:rPr>
        <w:t xml:space="preserve"> was trilingual, with Russian and German pre</w:t>
      </w:r>
      <w:r w:rsidRPr="00983547">
        <w:rPr>
          <w:rStyle w:val="BodyTextChar"/>
          <w:rFonts w:ascii="Verdana" w:hAnsi="Verdana"/>
          <w:sz w:val="20"/>
        </w:rPr>
        <w:softHyphen/>
        <w:t>dominant. Certainly, it was not a matter of choice: her native tongue was Russian. But a child who reads Heine in the original becomes instructed, willingly or not, in de</w:t>
      </w:r>
      <w:r w:rsidRPr="00983547">
        <w:rPr>
          <w:rStyle w:val="BodyTextChar"/>
          <w:rFonts w:ascii="Verdana" w:hAnsi="Verdana"/>
          <w:sz w:val="20"/>
        </w:rPr>
        <w:softHyphen/>
        <w:t>ductive</w:t>
      </w:r>
      <w:r>
        <w:rPr>
          <w:rStyle w:val="BodyTextChar"/>
          <w:rFonts w:ascii="Verdana" w:hAnsi="Verdana"/>
          <w:sz w:val="20"/>
        </w:rPr>
        <w:t xml:space="preserve"> “</w:t>
      </w:r>
      <w:r w:rsidRPr="00983547">
        <w:rPr>
          <w:rStyle w:val="BodyTextChar"/>
          <w:rFonts w:ascii="Verdana" w:hAnsi="Verdana"/>
          <w:sz w:val="20"/>
        </w:rPr>
        <w:t>seriousness and honor/ in the West, from an alien family.”</w:t>
      </w:r>
      <w:r w:rsidRPr="003F0F17">
        <w:rPr>
          <w:rStyle w:val="FootnoteReference"/>
          <w:rFonts w:ascii="Verdana" w:hAnsi="Verdana"/>
          <w:sz w:val="20"/>
        </w:rPr>
        <w:footnoteReference w:id="5"/>
      </w:r>
      <w:r w:rsidRPr="00983547">
        <w:rPr>
          <w:rStyle w:val="BodyTextChar"/>
          <w:rFonts w:ascii="Verdana" w:hAnsi="Verdana"/>
          <w:sz w:val="20"/>
        </w:rPr>
        <w:t xml:space="preserve"> Bearing an outwardly strong resemblance to the striving for truth, the striving for precision is by nature linguistic; that is, it is rooted in language, has its source in the word. The process of elimination mentioned above,</w:t>
      </w:r>
      <w:r>
        <w:rPr>
          <w:rStyle w:val="BodyTextChar"/>
          <w:rFonts w:ascii="Verdana" w:hAnsi="Verdana"/>
          <w:sz w:val="20"/>
        </w:rPr>
        <w:t xml:space="preserve"> </w:t>
      </w:r>
      <w:r w:rsidRPr="00983547">
        <w:rPr>
          <w:rStyle w:val="BodyTextChar"/>
          <w:rFonts w:ascii="Verdana" w:hAnsi="Verdana"/>
          <w:sz w:val="20"/>
        </w:rPr>
        <w:t>the need to discard the superfluous—which has reached, or rather been brought to, the level of instinct—is one of the means through which this striving is pursued. In the case of a poet, this striving often takes on an idiosyncratic quality, inasmuch as to the poet phonetics and semantics are, with few exceptions, identical.</w:t>
      </w:r>
    </w:p>
    <w:p w14:paraId="6CCB00DC"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identity imparts to consciousness so much accelera</w:t>
      </w:r>
      <w:r w:rsidRPr="00983547">
        <w:rPr>
          <w:rStyle w:val="BodyTextChar"/>
          <w:rFonts w:ascii="Verdana" w:hAnsi="Verdana"/>
          <w:sz w:val="20"/>
        </w:rPr>
        <w:softHyphen/>
        <w:t xml:space="preserve">tion that it carries its possessor beyond the parentheses of any </w:t>
      </w:r>
      <w:r w:rsidRPr="00983547">
        <w:rPr>
          <w:rStyle w:val="BodyTextChar"/>
          <w:rFonts w:ascii="Verdana" w:hAnsi="Verdana"/>
          <w:i/>
          <w:iCs/>
          <w:sz w:val="20"/>
        </w:rPr>
        <w:t>polis</w:t>
      </w:r>
      <w:r w:rsidRPr="00983547">
        <w:rPr>
          <w:rStyle w:val="BodyTextChar"/>
          <w:rFonts w:ascii="Verdana" w:hAnsi="Verdana"/>
          <w:sz w:val="20"/>
        </w:rPr>
        <w:t xml:space="preserve"> a lot sooner and farther than suggested by this or that energetic Plato. But that is not all. Any emotion that accompanies this imaginary or—more frequently—real re</w:t>
      </w:r>
      <w:r w:rsidRPr="00983547">
        <w:rPr>
          <w:rStyle w:val="BodyTextChar"/>
          <w:rFonts w:ascii="Verdana" w:hAnsi="Verdana"/>
          <w:sz w:val="20"/>
        </w:rPr>
        <w:softHyphen/>
        <w:t>location is edited by that identity; and the form—as well as the very fact—of the expression of that emotion proves to be aesthetically dependent on the said identity. In a more general sense, ethics slip into a dependence on aesthetics. A remarkable feature of Tsvetaeva</w:t>
      </w:r>
      <w:r>
        <w:rPr>
          <w:rStyle w:val="BodyTextChar"/>
          <w:rFonts w:ascii="Verdana" w:hAnsi="Verdana"/>
          <w:sz w:val="20"/>
        </w:rPr>
        <w:t>’s</w:t>
      </w:r>
      <w:r w:rsidRPr="00983547">
        <w:rPr>
          <w:rStyle w:val="BodyTextChar"/>
          <w:rFonts w:ascii="Verdana" w:hAnsi="Verdana"/>
          <w:sz w:val="20"/>
        </w:rPr>
        <w:t xml:space="preserve"> work is precisely the absolute independence of her moral valuations that exists along with such a phenomenally heightened linguistic sen</w:t>
      </w:r>
      <w:r w:rsidRPr="00983547">
        <w:rPr>
          <w:rStyle w:val="BodyTextChar"/>
          <w:rFonts w:ascii="Verdana" w:hAnsi="Verdana"/>
          <w:sz w:val="20"/>
        </w:rPr>
        <w:softHyphen/>
        <w:t>sitivity. One of the best examples of the struggle between ethical principle and linguistic determinism is her 1932 essay “The Poet and Time”: it is a duel in which no one is killed and both parties are victorious. This essay, one of the most crucial for an understanding of Tsvetaeva</w:t>
      </w:r>
      <w:r>
        <w:rPr>
          <w:rStyle w:val="BodyTextChar"/>
          <w:rFonts w:ascii="Verdana" w:hAnsi="Verdana"/>
          <w:sz w:val="20"/>
        </w:rPr>
        <w:t>’s</w:t>
      </w:r>
      <w:r w:rsidRPr="00983547">
        <w:rPr>
          <w:rStyle w:val="BodyTextChar"/>
          <w:rFonts w:ascii="Verdana" w:hAnsi="Verdana"/>
          <w:sz w:val="20"/>
        </w:rPr>
        <w:t xml:space="preserve"> work, affords one of the most trenchant examples of a semantic frontal attack on the positions occupied in our conscious</w:t>
      </w:r>
      <w:r w:rsidRPr="00983547">
        <w:rPr>
          <w:rStyle w:val="BodyTextChar"/>
          <w:rFonts w:ascii="Verdana" w:hAnsi="Verdana"/>
          <w:sz w:val="20"/>
        </w:rPr>
        <w:softHyphen/>
        <w:t xml:space="preserve">ness by abstract categories </w:t>
      </w:r>
      <w:r>
        <w:rPr>
          <w:rStyle w:val="BodyTextChar"/>
          <w:rFonts w:ascii="Verdana" w:hAnsi="Verdana"/>
          <w:sz w:val="20"/>
        </w:rPr>
        <w:t>(</w:t>
      </w:r>
      <w:r w:rsidRPr="00983547">
        <w:rPr>
          <w:rStyle w:val="BodyTextChar"/>
          <w:rFonts w:ascii="Verdana" w:hAnsi="Verdana"/>
          <w:sz w:val="20"/>
        </w:rPr>
        <w:t>in this instance, on the idea of time). An indirect gain achieved by such maneuvers is that the literary language receives training in breathing the rarefied atmosphere of abstract concepts, while the latter acquire the flesh of phonetics and morality.</w:t>
      </w:r>
    </w:p>
    <w:p w14:paraId="42ECDA61"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Represented on a graph, Tsvetaeva</w:t>
      </w:r>
      <w:r>
        <w:rPr>
          <w:rStyle w:val="BodyTextChar"/>
          <w:rFonts w:ascii="Verdana" w:hAnsi="Verdana"/>
          <w:sz w:val="20"/>
        </w:rPr>
        <w:t>’s</w:t>
      </w:r>
      <w:r w:rsidRPr="00983547">
        <w:rPr>
          <w:rStyle w:val="BodyTextChar"/>
          <w:rFonts w:ascii="Verdana" w:hAnsi="Verdana"/>
          <w:sz w:val="20"/>
        </w:rPr>
        <w:t xml:space="preserve"> work would ex</w:t>
      </w:r>
      <w:r w:rsidRPr="00983547">
        <w:rPr>
          <w:rStyle w:val="BodyTextChar"/>
          <w:rFonts w:ascii="Verdana" w:hAnsi="Verdana"/>
          <w:sz w:val="20"/>
        </w:rPr>
        <w:softHyphen/>
        <w:t>hibit a curve—nay, a straight line—rising at almost a right</w:t>
      </w:r>
      <w:r>
        <w:rPr>
          <w:rStyle w:val="BodyTextChar"/>
          <w:rFonts w:ascii="Verdana" w:hAnsi="Verdana"/>
          <w:sz w:val="20"/>
        </w:rPr>
        <w:t xml:space="preserve"> </w:t>
      </w:r>
      <w:r w:rsidRPr="00983547">
        <w:rPr>
          <w:rStyle w:val="BodyTextChar"/>
          <w:rFonts w:ascii="Verdana" w:hAnsi="Verdana"/>
          <w:sz w:val="20"/>
        </w:rPr>
        <w:t xml:space="preserve">angle because of her constant endeavor to raise the pitch a note higher, an idea higher. </w:t>
      </w:r>
      <w:r>
        <w:rPr>
          <w:rStyle w:val="BodyTextChar"/>
          <w:rFonts w:ascii="Verdana" w:hAnsi="Verdana"/>
          <w:sz w:val="20"/>
        </w:rPr>
        <w:t>(</w:t>
      </w:r>
      <w:r w:rsidRPr="00983547">
        <w:rPr>
          <w:rStyle w:val="BodyTextChar"/>
          <w:rFonts w:ascii="Verdana" w:hAnsi="Verdana"/>
          <w:sz w:val="20"/>
        </w:rPr>
        <w:t>Or, more precisely, an octave and faith higher.) She always carries everything she has to say to its conceivable and expressible end. In either her verse or her prose nothing remains hanging in the air or leaves a feeling of ambivalence. Tsvetaeva is that unique case in which the paramount spiritual experience of an epoch (in this instance, the sense of ambivalence, of the contradictoriness of the nature of human existence) served not as the object of expression but as its means; whereupon it was transformed into the material of art. That a poet resorts to prose, which creates the illusion of a more con</w:t>
      </w:r>
      <w:r w:rsidRPr="00983547">
        <w:rPr>
          <w:rStyle w:val="BodyTextChar"/>
          <w:rFonts w:ascii="Verdana" w:hAnsi="Verdana"/>
          <w:sz w:val="20"/>
        </w:rPr>
        <w:softHyphen/>
        <w:t>sistent development of thought than poetry does, is in itself a kind of indirect proof that the paramount spiritual ex</w:t>
      </w:r>
      <w:r w:rsidRPr="00983547">
        <w:rPr>
          <w:rStyle w:val="BodyTextChar"/>
          <w:rFonts w:ascii="Verdana" w:hAnsi="Verdana"/>
          <w:sz w:val="20"/>
        </w:rPr>
        <w:softHyphen/>
        <w:t>perience is not so paramount; that experiences of a higher nature are possible, and that a reader can be taken by the hand by prose and delivered to where he would otherwise have to be shoved by a poem.</w:t>
      </w:r>
    </w:p>
    <w:p w14:paraId="138288CB"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last consideration—the notion of concern for the reader—should be taken into account if merely because it is our only chance to squeeze Tsvetaeva into the tradition of Russian literature, with its main tendency toward con</w:t>
      </w:r>
      <w:r w:rsidRPr="00983547">
        <w:rPr>
          <w:rStyle w:val="BodyTextChar"/>
          <w:rFonts w:ascii="Verdana" w:hAnsi="Verdana"/>
          <w:sz w:val="20"/>
        </w:rPr>
        <w:softHyphen/>
        <w:t>soling, toward justifying (on the highest level, if possible) reality and the existing order of things in general. Or else, it turns out that the “gray wolf” who keeps looking to the “thick woods of Eternity” no matter how much time you feed it, the mouthpiece or the ear of the voice of “heavenly truth versus earthly truth,” i.e., Tsvetaeva, who cares for nothing in between, really stands all alone in Russian lit</w:t>
      </w:r>
      <w:r w:rsidRPr="00983547">
        <w:rPr>
          <w:rStyle w:val="BodyTextChar"/>
          <w:rFonts w:ascii="Verdana" w:hAnsi="Verdana"/>
          <w:sz w:val="20"/>
        </w:rPr>
        <w:softHyphen/>
        <w:t>erature, very, very much off by herself. An unwillingness to accept reality, motivated not only by ethics but by aes</w:t>
      </w:r>
      <w:r w:rsidRPr="00983547">
        <w:rPr>
          <w:rStyle w:val="BodyTextChar"/>
          <w:rFonts w:ascii="Verdana" w:hAnsi="Verdana"/>
          <w:sz w:val="20"/>
        </w:rPr>
        <w:softHyphen/>
        <w:t>thetics as well, is something unusual in Russian literature.</w:t>
      </w:r>
    </w:p>
    <w:p w14:paraId="11C68726"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of course, can be attributed to the quality of reality itself, within the Russian homeland and without; but the problem undoubtedly lies elsewhere. Most likely, the prob</w:t>
      </w:r>
      <w:r w:rsidRPr="00983547">
        <w:rPr>
          <w:rStyle w:val="BodyTextChar"/>
          <w:rFonts w:ascii="Verdana" w:hAnsi="Verdana"/>
          <w:sz w:val="20"/>
        </w:rPr>
        <w:softHyphen/>
        <w:t>lem is that the new semantics required new phonetics, and Tsvetaeva provided it. In her, Russian letters found a di</w:t>
      </w:r>
      <w:r w:rsidRPr="00983547">
        <w:rPr>
          <w:rStyle w:val="BodyTextChar"/>
          <w:rFonts w:ascii="Verdana" w:hAnsi="Verdana"/>
          <w:sz w:val="20"/>
        </w:rPr>
        <w:softHyphen/>
        <w:t>mension that hitherto had not been intrinsic to it: she demonstrated language</w:t>
      </w:r>
      <w:r>
        <w:rPr>
          <w:rStyle w:val="BodyTextChar"/>
          <w:rFonts w:ascii="Verdana" w:hAnsi="Verdana"/>
          <w:sz w:val="20"/>
        </w:rPr>
        <w:t>’s</w:t>
      </w:r>
      <w:r w:rsidRPr="00983547">
        <w:rPr>
          <w:rStyle w:val="BodyTextChar"/>
          <w:rFonts w:ascii="Verdana" w:hAnsi="Verdana"/>
          <w:sz w:val="20"/>
        </w:rPr>
        <w:t xml:space="preserve"> own self-interest in tragic subject matter. In this dimension justification or acceptance of reality is out of the question if only because the existing order of things is tragic in purely phonetic terms. According to Tsvetaeva, the very sound </w:t>
      </w:r>
      <w:r w:rsidRPr="00983547">
        <w:rPr>
          <w:rStyle w:val="BodyTextChar"/>
          <w:rFonts w:ascii="Verdana" w:hAnsi="Verdana"/>
          <w:sz w:val="20"/>
        </w:rPr>
        <w:lastRenderedPageBreak/>
        <w:t>of speech is prone to the tragi</w:t>
      </w:r>
      <w:r w:rsidRPr="00983547">
        <w:rPr>
          <w:rStyle w:val="BodyTextChar"/>
          <w:rFonts w:ascii="Verdana" w:hAnsi="Verdana"/>
          <w:sz w:val="20"/>
        </w:rPr>
        <w:softHyphen/>
        <w:t>cal and, in a way, even profits from it: as in a lament. No wonder, then, that for a literature so steeped in didactical positivism that the expression ‘‘to begin with well-wishing but end with ‘Ashes to ashes’ ” is considered a formula for deviation from the norm, Tsvetaeva</w:t>
      </w:r>
      <w:r>
        <w:rPr>
          <w:rStyle w:val="BodyTextChar"/>
          <w:rFonts w:ascii="Verdana" w:hAnsi="Verdana"/>
          <w:sz w:val="20"/>
        </w:rPr>
        <w:t>’s</w:t>
      </w:r>
      <w:r w:rsidRPr="00983547">
        <w:rPr>
          <w:rStyle w:val="BodyTextChar"/>
          <w:rFonts w:ascii="Verdana" w:hAnsi="Verdana"/>
          <w:sz w:val="20"/>
        </w:rPr>
        <w:t xml:space="preserve"> work proved to be something novel, with all the ensuing personal conse</w:t>
      </w:r>
      <w:r w:rsidRPr="00983547">
        <w:rPr>
          <w:rStyle w:val="BodyTextChar"/>
          <w:rFonts w:ascii="Verdana" w:hAnsi="Verdana"/>
          <w:sz w:val="20"/>
        </w:rPr>
        <w:softHyphen/>
        <w:t>quences. Tsvetaeva</w:t>
      </w:r>
      <w:r>
        <w:rPr>
          <w:rStyle w:val="BodyTextChar"/>
          <w:rFonts w:ascii="Verdana" w:hAnsi="Verdana"/>
          <w:sz w:val="20"/>
        </w:rPr>
        <w:t>’s</w:t>
      </w:r>
      <w:r w:rsidRPr="00983547">
        <w:rPr>
          <w:rStyle w:val="BodyTextChar"/>
          <w:rFonts w:ascii="Verdana" w:hAnsi="Verdana"/>
          <w:sz w:val="20"/>
        </w:rPr>
        <w:t xml:space="preserve"> biography differs favorably only from the biographies of those of her contemporaries who per</w:t>
      </w:r>
      <w:r w:rsidRPr="00983547">
        <w:rPr>
          <w:rStyle w:val="BodyTextChar"/>
          <w:rFonts w:ascii="Verdana" w:hAnsi="Verdana"/>
          <w:sz w:val="20"/>
        </w:rPr>
        <w:softHyphen/>
        <w:t>ished earlier.</w:t>
      </w:r>
    </w:p>
    <w:p w14:paraId="083B8783"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what was a novelty for letters was not one for the national psyche. Of the entire pleiad of great twentieth</w:t>
      </w:r>
      <w:r w:rsidRPr="00983547">
        <w:rPr>
          <w:rStyle w:val="BodyTextChar"/>
          <w:rFonts w:ascii="Verdana" w:hAnsi="Verdana"/>
          <w:sz w:val="20"/>
        </w:rPr>
        <w:softHyphen/>
        <w:t>century Russian poets, with the exception of Nikolai Klu</w:t>
      </w:r>
      <w:r>
        <w:rPr>
          <w:rStyle w:val="BodyTextChar"/>
          <w:rFonts w:ascii="Verdana" w:hAnsi="Verdana"/>
          <w:sz w:val="20"/>
        </w:rPr>
        <w:t>-</w:t>
      </w:r>
      <w:r w:rsidRPr="00983547">
        <w:rPr>
          <w:rStyle w:val="BodyTextChar"/>
          <w:rFonts w:ascii="Verdana" w:hAnsi="Verdana"/>
          <w:sz w:val="20"/>
        </w:rPr>
        <w:t>yev, Tsvetaeva stands closest to folklore, and the style of the lament provides one of the keys to understanding her work. Leaving aside the decorative, not to say drawing</w:t>
      </w:r>
      <w:r w:rsidRPr="00983547">
        <w:rPr>
          <w:rStyle w:val="BodyTextChar"/>
          <w:rFonts w:ascii="Verdana" w:hAnsi="Verdana"/>
          <w:sz w:val="20"/>
        </w:rPr>
        <w:softHyphen/>
        <w:t>room, aspect of folklore, which was so successfully elab</w:t>
      </w:r>
      <w:r w:rsidRPr="00983547">
        <w:rPr>
          <w:rStyle w:val="BodyTextChar"/>
          <w:rFonts w:ascii="Verdana" w:hAnsi="Verdana"/>
          <w:sz w:val="20"/>
        </w:rPr>
        <w:softHyphen/>
        <w:t>orated by, again, Kluyev, Tsvetaeva was compelled by force of circumstance to resort to that device which is the essen</w:t>
      </w:r>
      <w:r w:rsidRPr="00983547">
        <w:rPr>
          <w:rStyle w:val="BodyTextChar"/>
          <w:rFonts w:ascii="Verdana" w:hAnsi="Verdana"/>
          <w:sz w:val="20"/>
        </w:rPr>
        <w:softHyphen/>
        <w:t>tial element of folklore: unaddressed speech. In both her verse and her prose we constantly hear a monologue—not</w:t>
      </w:r>
      <w:r>
        <w:rPr>
          <w:rStyle w:val="BodyTextChar"/>
          <w:rFonts w:ascii="Verdana" w:hAnsi="Verdana"/>
          <w:sz w:val="20"/>
        </w:rPr>
        <w:t xml:space="preserve"> </w:t>
      </w:r>
      <w:r w:rsidRPr="00983547">
        <w:rPr>
          <w:rStyle w:val="BodyTextChar"/>
          <w:rFonts w:ascii="Verdana" w:hAnsi="Verdana"/>
          <w:sz w:val="20"/>
        </w:rPr>
        <w:t>the monologue of a heroine, but a monologue as a conse</w:t>
      </w:r>
      <w:r w:rsidRPr="00983547">
        <w:rPr>
          <w:rStyle w:val="BodyTextChar"/>
          <w:rFonts w:ascii="Verdana" w:hAnsi="Verdana"/>
          <w:sz w:val="20"/>
        </w:rPr>
        <w:softHyphen/>
        <w:t>quence of having no one to talk to.</w:t>
      </w:r>
    </w:p>
    <w:p w14:paraId="6ECA63BC" w14:textId="77777777" w:rsidR="00F47E95" w:rsidRPr="00983547" w:rsidRDefault="00F47E95" w:rsidP="003F0F17">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characteristic feature of this kind of speech is that the speaker is also the listener. Folklore—a shepherd</w:t>
      </w:r>
      <w:r>
        <w:rPr>
          <w:rStyle w:val="BodyTextChar"/>
          <w:rFonts w:ascii="Verdana" w:hAnsi="Verdana"/>
          <w:sz w:val="20"/>
        </w:rPr>
        <w:t>’s</w:t>
      </w:r>
      <w:r w:rsidRPr="00983547">
        <w:rPr>
          <w:rStyle w:val="BodyTextChar"/>
          <w:rFonts w:ascii="Verdana" w:hAnsi="Verdana"/>
          <w:sz w:val="20"/>
        </w:rPr>
        <w:t xml:space="preserve"> song</w:t>
      </w:r>
      <w:r>
        <w:rPr>
          <w:rStyle w:val="BodyTextChar"/>
          <w:rFonts w:ascii="Verdana" w:hAnsi="Verdana"/>
          <w:sz w:val="20"/>
        </w:rPr>
        <w:t>—</w:t>
      </w:r>
      <w:r w:rsidRPr="00983547">
        <w:rPr>
          <w:rStyle w:val="BodyTextChar"/>
          <w:rFonts w:ascii="Verdana" w:hAnsi="Verdana"/>
          <w:sz w:val="20"/>
        </w:rPr>
        <w:t>is speech intended for the self, for itself: the ear heeds the mouth. Thus, through self-audition language achieves self-cognition. But no matter how or through what one accounts for the genealogy of Tsvetaeva</w:t>
      </w:r>
      <w:r>
        <w:rPr>
          <w:rStyle w:val="BodyTextChar"/>
          <w:rFonts w:ascii="Verdana" w:hAnsi="Verdana"/>
          <w:sz w:val="20"/>
        </w:rPr>
        <w:t>’s</w:t>
      </w:r>
      <w:r w:rsidRPr="00983547">
        <w:rPr>
          <w:rStyle w:val="BodyTextChar"/>
          <w:rFonts w:ascii="Verdana" w:hAnsi="Verdana"/>
          <w:sz w:val="20"/>
        </w:rPr>
        <w:t xml:space="preserve"> poetics, the de</w:t>
      </w:r>
      <w:r w:rsidRPr="00983547">
        <w:rPr>
          <w:rStyle w:val="BodyTextChar"/>
          <w:rFonts w:ascii="Verdana" w:hAnsi="Verdana"/>
          <w:sz w:val="20"/>
        </w:rPr>
        <w:softHyphen/>
        <w:t>gree of responsibility placed on the reader</w:t>
      </w:r>
      <w:r>
        <w:rPr>
          <w:rStyle w:val="BodyTextChar"/>
          <w:rFonts w:ascii="Verdana" w:hAnsi="Verdana"/>
          <w:sz w:val="20"/>
        </w:rPr>
        <w:t>’s</w:t>
      </w:r>
      <w:r w:rsidRPr="00983547">
        <w:rPr>
          <w:rStyle w:val="BodyTextChar"/>
          <w:rFonts w:ascii="Verdana" w:hAnsi="Verdana"/>
          <w:sz w:val="20"/>
        </w:rPr>
        <w:t xml:space="preserve"> consciousness by its fruits exceeded—and exceeds to this day—the degree of the Russian reader</w:t>
      </w:r>
      <w:r>
        <w:rPr>
          <w:rStyle w:val="BodyTextChar"/>
          <w:rFonts w:ascii="Verdana" w:hAnsi="Verdana"/>
          <w:sz w:val="20"/>
        </w:rPr>
        <w:t>’s</w:t>
      </w:r>
      <w:r w:rsidRPr="00983547">
        <w:rPr>
          <w:rStyle w:val="BodyTextChar"/>
          <w:rFonts w:ascii="Verdana" w:hAnsi="Verdana"/>
          <w:sz w:val="20"/>
        </w:rPr>
        <w:t xml:space="preserve"> preparedness to accept this respon</w:t>
      </w:r>
      <w:r w:rsidRPr="00983547">
        <w:rPr>
          <w:rStyle w:val="BodyTextChar"/>
          <w:rFonts w:ascii="Verdana" w:hAnsi="Verdana"/>
          <w:sz w:val="20"/>
        </w:rPr>
        <w:softHyphen/>
        <w:t xml:space="preserve">sibility </w:t>
      </w:r>
      <w:r>
        <w:rPr>
          <w:rStyle w:val="BodyTextChar"/>
          <w:rFonts w:ascii="Verdana" w:hAnsi="Verdana"/>
          <w:sz w:val="20"/>
        </w:rPr>
        <w:t>(</w:t>
      </w:r>
      <w:r w:rsidRPr="00983547">
        <w:rPr>
          <w:rStyle w:val="BodyTextChar"/>
          <w:rFonts w:ascii="Verdana" w:hAnsi="Verdana"/>
          <w:sz w:val="20"/>
        </w:rPr>
        <w:t>with the demand for which the difference between folklore and authored literature presumably starts). Even protected by the armor of dogma or by the no less sturdy armor of absolute cynicism, he proves defenseless against the intensity of art lighting up his conscience. The inevita</w:t>
      </w:r>
      <w:r w:rsidRPr="00983547">
        <w:rPr>
          <w:rStyle w:val="BodyTextChar"/>
          <w:rFonts w:ascii="Verdana" w:hAnsi="Verdana"/>
          <w:sz w:val="20"/>
        </w:rPr>
        <w:softHyphen/>
        <w:t>bility of the presumably ruinous effect that this entails is understood more or less equally by both the shepherds and the flock itself, and to this day Tsvetaeva</w:t>
      </w:r>
      <w:r>
        <w:rPr>
          <w:rStyle w:val="BodyTextChar"/>
          <w:rFonts w:ascii="Verdana" w:hAnsi="Verdana"/>
          <w:sz w:val="20"/>
        </w:rPr>
        <w:t>’s</w:t>
      </w:r>
      <w:r w:rsidRPr="00983547">
        <w:rPr>
          <w:rStyle w:val="BodyTextChar"/>
          <w:rFonts w:ascii="Verdana" w:hAnsi="Verdana"/>
          <w:sz w:val="20"/>
        </w:rPr>
        <w:t xml:space="preserve"> collected works do not exist either outside or inside the country in the lan</w:t>
      </w:r>
      <w:r w:rsidRPr="00983547">
        <w:rPr>
          <w:rStyle w:val="BodyTextChar"/>
          <w:rFonts w:ascii="Verdana" w:hAnsi="Verdana"/>
          <w:sz w:val="20"/>
        </w:rPr>
        <w:softHyphen/>
        <w:t>guage of whose people she wrote. Theoretically, the dig</w:t>
      </w:r>
      <w:r w:rsidRPr="00983547">
        <w:rPr>
          <w:rStyle w:val="BodyTextChar"/>
          <w:rFonts w:ascii="Verdana" w:hAnsi="Verdana"/>
          <w:sz w:val="20"/>
        </w:rPr>
        <w:softHyphen/>
        <w:t>nity of a nation degraded politically cannot be seriously wounded by obliterating its cultural heritage. Russia, how</w:t>
      </w:r>
      <w:r w:rsidRPr="00983547">
        <w:rPr>
          <w:rStyle w:val="BodyTextChar"/>
          <w:rFonts w:ascii="Verdana" w:hAnsi="Verdana"/>
          <w:sz w:val="20"/>
        </w:rPr>
        <w:softHyphen/>
        <w:t>ever, in contrast to nations blessed with a legislative tradi</w:t>
      </w:r>
      <w:r w:rsidRPr="00983547">
        <w:rPr>
          <w:rStyle w:val="BodyTextChar"/>
          <w:rFonts w:ascii="Verdana" w:hAnsi="Verdana"/>
          <w:sz w:val="20"/>
        </w:rPr>
        <w:softHyphen/>
        <w:t>tion, elective institutions, and so forth, is in a position to understand herself only through literature, and to retard the literary process by disposing of or treating as nonexis</w:t>
      </w:r>
      <w:r w:rsidRPr="00983547">
        <w:rPr>
          <w:rStyle w:val="BodyTextChar"/>
          <w:rFonts w:ascii="Verdana" w:hAnsi="Verdana"/>
          <w:sz w:val="20"/>
        </w:rPr>
        <w:softHyphen/>
        <w:t>tent the works of even a minor author is tantamount to a genetic crime against the future of the nation.</w:t>
      </w:r>
    </w:p>
    <w:p w14:paraId="65611782" w14:textId="77777777" w:rsidR="00F47E95" w:rsidRPr="00983547" w:rsidRDefault="00F47E95" w:rsidP="003F0F17">
      <w:pPr>
        <w:pStyle w:val="BodyText"/>
        <w:suppressAutoHyphens/>
        <w:spacing w:after="60" w:line="240" w:lineRule="auto"/>
        <w:ind w:firstLine="283"/>
        <w:jc w:val="both"/>
        <w:rPr>
          <w:rFonts w:ascii="Verdana" w:hAnsi="Verdana"/>
          <w:sz w:val="20"/>
        </w:rPr>
      </w:pPr>
      <w:r w:rsidRPr="00983547">
        <w:rPr>
          <w:rStyle w:val="BodyTextChar"/>
          <w:rFonts w:ascii="Verdana" w:hAnsi="Verdana"/>
          <w:sz w:val="20"/>
        </w:rPr>
        <w:t>Whatever the reasons that moved Tsvetaeva to turn to prose and regardless of how much Russian poetry conse</w:t>
      </w:r>
      <w:r w:rsidRPr="00983547">
        <w:rPr>
          <w:rStyle w:val="BodyTextChar"/>
          <w:rFonts w:ascii="Verdana" w:hAnsi="Verdana"/>
          <w:sz w:val="20"/>
        </w:rPr>
        <w:softHyphen/>
        <w:t>quently lost, one can only be grateful to Providence that such a turn took place. Moreover, poetry has in fact hardly lost; if it did lose something with respect to form, it re</w:t>
      </w:r>
      <w:r w:rsidRPr="00983547">
        <w:rPr>
          <w:rStyle w:val="BodyTextChar"/>
          <w:rFonts w:ascii="Verdana" w:hAnsi="Verdana"/>
          <w:sz w:val="20"/>
        </w:rPr>
        <w:softHyphen/>
        <w:t>mained true to itself in terms of energy and essence, i.e., it preserved its substance. Every author expands upon—even by means of repudiating—the postulates, the idioms, the aesthetics of his predecessors. Turning to prose, Tsvetaeva was expanding upon herself—she was a reaction to her own self. Her isolation was not premeditated but enforced, imposed from without: by the logic of language, by his</w:t>
      </w:r>
      <w:r w:rsidRPr="00983547">
        <w:rPr>
          <w:rStyle w:val="BodyTextChar"/>
          <w:rFonts w:ascii="Verdana" w:hAnsi="Verdana"/>
          <w:sz w:val="20"/>
        </w:rPr>
        <w:softHyphen/>
        <w:t>torical circumstances, by the quality of her contemporaries. By no means is she an esoteric poet—no more passionate voice ever sounded in Russian poetry of the twentieth cen</w:t>
      </w:r>
      <w:r w:rsidRPr="00983547">
        <w:rPr>
          <w:rStyle w:val="BodyTextChar"/>
          <w:rFonts w:ascii="Verdana" w:hAnsi="Verdana"/>
          <w:sz w:val="20"/>
        </w:rPr>
        <w:softHyphen/>
        <w:t>tury. Besides, esoteric poets don’t write prose. The fact that she ended up, nevertheless, out of the mainstream of Russian literature was only for the better. Thus, a star, in a poem by her beloved Rilke translated by her no less beloved Pas</w:t>
      </w:r>
      <w:r w:rsidRPr="00983547">
        <w:rPr>
          <w:rStyle w:val="BodyTextChar"/>
          <w:rFonts w:ascii="Verdana" w:hAnsi="Verdana"/>
          <w:sz w:val="20"/>
        </w:rPr>
        <w:softHyphen/>
        <w:t>ternak, like the light in the window</w:t>
      </w:r>
      <w:r>
        <w:rPr>
          <w:rStyle w:val="BodyTextChar"/>
          <w:rFonts w:ascii="Verdana" w:hAnsi="Verdana"/>
          <w:sz w:val="20"/>
        </w:rPr>
        <w:t xml:space="preserve"> “</w:t>
      </w:r>
      <w:r w:rsidRPr="00983547">
        <w:rPr>
          <w:rStyle w:val="BodyTextChar"/>
          <w:rFonts w:ascii="Verdana" w:hAnsi="Verdana"/>
          <w:sz w:val="20"/>
        </w:rPr>
        <w:t>of the last house at the parish</w:t>
      </w:r>
      <w:r>
        <w:rPr>
          <w:rStyle w:val="BodyTextChar"/>
          <w:rFonts w:ascii="Verdana" w:hAnsi="Verdana"/>
          <w:sz w:val="20"/>
        </w:rPr>
        <w:t>’s</w:t>
      </w:r>
      <w:r w:rsidRPr="00983547">
        <w:rPr>
          <w:rStyle w:val="BodyTextChar"/>
          <w:rFonts w:ascii="Verdana" w:hAnsi="Verdana"/>
          <w:sz w:val="20"/>
        </w:rPr>
        <w:t xml:space="preserve"> edge,” only expands the parishioners’ concep</w:t>
      </w:r>
      <w:r w:rsidRPr="00983547">
        <w:rPr>
          <w:rStyle w:val="BodyTextChar"/>
          <w:rFonts w:ascii="Verdana" w:hAnsi="Verdana"/>
          <w:sz w:val="20"/>
        </w:rPr>
        <w:softHyphen/>
        <w:t>tion of the size of the parish.</w:t>
      </w:r>
    </w:p>
    <w:p w14:paraId="57E6E649" w14:textId="77777777" w:rsidR="003F0F17" w:rsidRDefault="00F47E95" w:rsidP="003F0F17">
      <w:pPr>
        <w:pStyle w:val="Bodytext21"/>
        <w:widowControl/>
        <w:suppressAutoHyphens/>
        <w:spacing w:after="60"/>
        <w:ind w:firstLine="283"/>
        <w:jc w:val="both"/>
        <w:rPr>
          <w:rStyle w:val="Bodytext20"/>
          <w:rFonts w:ascii="Verdana" w:hAnsi="Verdana"/>
          <w:i/>
          <w:iCs/>
          <w:sz w:val="20"/>
        </w:rPr>
      </w:pPr>
      <w:r w:rsidRPr="00154E8E">
        <w:rPr>
          <w:rStyle w:val="Bodytext20"/>
          <w:rFonts w:ascii="Verdana" w:hAnsi="Verdana"/>
          <w:i/>
          <w:iCs/>
          <w:sz w:val="20"/>
        </w:rPr>
        <w:t>(Translated by Barry Rubin)</w:t>
      </w:r>
    </w:p>
    <w:p w14:paraId="7C9FF84E" w14:textId="66655125" w:rsidR="00282D65" w:rsidRPr="003F0F17" w:rsidRDefault="00F47E95" w:rsidP="003F0F17">
      <w:pPr>
        <w:pStyle w:val="Bodytext21"/>
        <w:widowControl/>
        <w:suppressAutoHyphens/>
        <w:spacing w:after="0"/>
        <w:ind w:firstLine="283"/>
        <w:jc w:val="both"/>
        <w:rPr>
          <w:rFonts w:ascii="Verdana" w:hAnsi="Verdana"/>
          <w:b w:val="0"/>
          <w:bCs w:val="0"/>
          <w:i/>
          <w:iCs/>
          <w:sz w:val="20"/>
        </w:rPr>
      </w:pPr>
      <w:r w:rsidRPr="003F0F17">
        <w:rPr>
          <w:rStyle w:val="BodyTextChar"/>
          <w:rFonts w:ascii="Verdana" w:hAnsi="Verdana"/>
          <w:b w:val="0"/>
          <w:bCs w:val="0"/>
          <w:i/>
          <w:iCs/>
          <w:sz w:val="20"/>
        </w:rPr>
        <w:t>1979</w:t>
      </w:r>
    </w:p>
    <w:sectPr w:rsidR="00282D65" w:rsidRPr="003F0F17" w:rsidSect="00D1040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49F78" w14:textId="77777777" w:rsidR="00104A43" w:rsidRDefault="00104A43" w:rsidP="00F47E95">
      <w:pPr>
        <w:spacing w:after="0" w:line="240" w:lineRule="auto"/>
      </w:pPr>
      <w:r>
        <w:separator/>
      </w:r>
    </w:p>
  </w:endnote>
  <w:endnote w:type="continuationSeparator" w:id="0">
    <w:p w14:paraId="4E2ADFC8" w14:textId="77777777" w:rsidR="00104A43" w:rsidRDefault="00104A43" w:rsidP="00F47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A24A8" w14:textId="77777777" w:rsidR="00F47E95" w:rsidRDefault="00F47E95"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23444DC" w14:textId="77777777" w:rsidR="00F47E95" w:rsidRDefault="00F47E95" w:rsidP="00F47E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22599" w14:textId="29FB3F9D" w:rsidR="00F47E95" w:rsidRPr="00D1040D" w:rsidRDefault="00D1040D" w:rsidP="00F47E95">
    <w:pPr>
      <w:pStyle w:val="Footer"/>
      <w:ind w:right="360"/>
      <w:rPr>
        <w:rFonts w:ascii="Arial" w:hAnsi="Arial" w:cs="Arial"/>
        <w:color w:val="999999"/>
        <w:sz w:val="20"/>
        <w:lang w:val="ru-RU"/>
      </w:rPr>
    </w:pPr>
    <w:r w:rsidRPr="003F0F17">
      <w:rPr>
        <w:rStyle w:val="PageNumber"/>
        <w:rFonts w:ascii="Arial" w:hAnsi="Arial" w:cs="Arial"/>
        <w:color w:val="999999"/>
        <w:sz w:val="20"/>
        <w:lang w:val="ru-RU"/>
      </w:rPr>
      <w:t xml:space="preserve">Библиотека «Артефакт» — </w:t>
    </w:r>
    <w:r w:rsidRPr="00D1040D">
      <w:rPr>
        <w:rStyle w:val="PageNumber"/>
        <w:rFonts w:ascii="Arial" w:hAnsi="Arial" w:cs="Arial"/>
        <w:color w:val="999999"/>
        <w:sz w:val="20"/>
      </w:rPr>
      <w:t>http</w:t>
    </w:r>
    <w:r w:rsidRPr="003F0F17">
      <w:rPr>
        <w:rStyle w:val="PageNumber"/>
        <w:rFonts w:ascii="Arial" w:hAnsi="Arial" w:cs="Arial"/>
        <w:color w:val="999999"/>
        <w:sz w:val="20"/>
        <w:lang w:val="ru-RU"/>
      </w:rPr>
      <w:t>://</w:t>
    </w:r>
    <w:r w:rsidRPr="00D1040D">
      <w:rPr>
        <w:rStyle w:val="PageNumber"/>
        <w:rFonts w:ascii="Arial" w:hAnsi="Arial" w:cs="Arial"/>
        <w:color w:val="999999"/>
        <w:sz w:val="20"/>
      </w:rPr>
      <w:t>artefact</w:t>
    </w:r>
    <w:r w:rsidRPr="003F0F17">
      <w:rPr>
        <w:rStyle w:val="PageNumber"/>
        <w:rFonts w:ascii="Arial" w:hAnsi="Arial" w:cs="Arial"/>
        <w:color w:val="999999"/>
        <w:sz w:val="20"/>
        <w:lang w:val="ru-RU"/>
      </w:rPr>
      <w:t>.</w:t>
    </w:r>
    <w:r w:rsidRPr="00D1040D">
      <w:rPr>
        <w:rStyle w:val="PageNumber"/>
        <w:rFonts w:ascii="Arial" w:hAnsi="Arial" w:cs="Arial"/>
        <w:color w:val="999999"/>
        <w:sz w:val="20"/>
      </w:rPr>
      <w:t>lib</w:t>
    </w:r>
    <w:r w:rsidRPr="003F0F17">
      <w:rPr>
        <w:rStyle w:val="PageNumber"/>
        <w:rFonts w:ascii="Arial" w:hAnsi="Arial" w:cs="Arial"/>
        <w:color w:val="999999"/>
        <w:sz w:val="20"/>
        <w:lang w:val="ru-RU"/>
      </w:rPr>
      <w:t>.</w:t>
    </w:r>
    <w:r w:rsidRPr="00D1040D">
      <w:rPr>
        <w:rStyle w:val="PageNumber"/>
        <w:rFonts w:ascii="Arial" w:hAnsi="Arial" w:cs="Arial"/>
        <w:color w:val="999999"/>
        <w:sz w:val="20"/>
      </w:rPr>
      <w:t>ru</w:t>
    </w:r>
    <w:r w:rsidRPr="003F0F17">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505B8" w14:textId="77777777" w:rsidR="00F47E95" w:rsidRDefault="00F47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CFFC8" w14:textId="77777777" w:rsidR="00104A43" w:rsidRDefault="00104A43" w:rsidP="00F47E95">
      <w:pPr>
        <w:spacing w:after="0" w:line="240" w:lineRule="auto"/>
      </w:pPr>
      <w:r>
        <w:separator/>
      </w:r>
    </w:p>
  </w:footnote>
  <w:footnote w:type="continuationSeparator" w:id="0">
    <w:p w14:paraId="540404C4" w14:textId="77777777" w:rsidR="00104A43" w:rsidRDefault="00104A43" w:rsidP="00F47E95">
      <w:pPr>
        <w:spacing w:after="0" w:line="240" w:lineRule="auto"/>
      </w:pPr>
      <w:r>
        <w:continuationSeparator/>
      </w:r>
    </w:p>
  </w:footnote>
  <w:footnote w:id="1">
    <w:p w14:paraId="55E3368C" w14:textId="77777777" w:rsidR="00F47E95" w:rsidRPr="003F0F17" w:rsidRDefault="00F47E95" w:rsidP="003F0F17">
      <w:pPr>
        <w:pStyle w:val="FootnoteText"/>
        <w:spacing w:after="60"/>
        <w:jc w:val="both"/>
        <w:rPr>
          <w:rFonts w:asciiTheme="minorHAnsi" w:hAnsiTheme="minorHAnsi" w:cstheme="minorHAnsi"/>
          <w:b/>
          <w:bCs/>
        </w:rPr>
      </w:pPr>
      <w:r w:rsidRPr="003F0F17">
        <w:rPr>
          <w:rStyle w:val="FootnoteReference"/>
          <w:rFonts w:asciiTheme="minorHAnsi" w:hAnsiTheme="minorHAnsi" w:cstheme="minorHAnsi"/>
        </w:rPr>
        <w:footnoteRef/>
      </w:r>
      <w:r w:rsidRPr="003F0F17">
        <w:rPr>
          <w:rFonts w:asciiTheme="minorHAnsi" w:hAnsiTheme="minorHAnsi" w:cstheme="minorHAnsi"/>
          <w:b/>
          <w:bCs/>
        </w:rPr>
        <w:t xml:space="preserve"> </w:t>
      </w:r>
      <w:r w:rsidRPr="003F0F17">
        <w:rPr>
          <w:rStyle w:val="Footnote"/>
          <w:rFonts w:ascii="Calibri" w:eastAsia="Microsoft Sans Serif" w:hAnsi="Calibri" w:cs="Calibri"/>
          <w:b w:val="0"/>
          <w:bCs w:val="0"/>
          <w:sz w:val="20"/>
        </w:rPr>
        <w:t>Prose works by Pushkin.</w:t>
      </w:r>
    </w:p>
  </w:footnote>
  <w:footnote w:id="2">
    <w:p w14:paraId="08B07F5D" w14:textId="77777777" w:rsidR="00F47E95" w:rsidRPr="003F0F17" w:rsidRDefault="00F47E95" w:rsidP="003F0F17">
      <w:pPr>
        <w:pStyle w:val="FootnoteText"/>
        <w:spacing w:after="60"/>
        <w:jc w:val="both"/>
        <w:rPr>
          <w:rFonts w:asciiTheme="minorHAnsi" w:hAnsiTheme="minorHAnsi" w:cstheme="minorHAnsi"/>
          <w:b/>
          <w:bCs/>
        </w:rPr>
      </w:pPr>
      <w:r w:rsidRPr="003F0F17">
        <w:rPr>
          <w:rStyle w:val="FootnoteReference"/>
          <w:rFonts w:asciiTheme="minorHAnsi" w:hAnsiTheme="minorHAnsi" w:cstheme="minorHAnsi"/>
        </w:rPr>
        <w:footnoteRef/>
      </w:r>
      <w:r w:rsidRPr="003F0F17">
        <w:rPr>
          <w:rFonts w:asciiTheme="minorHAnsi" w:hAnsiTheme="minorHAnsi" w:cstheme="minorHAnsi"/>
          <w:b/>
          <w:bCs/>
        </w:rPr>
        <w:t xml:space="preserve"> </w:t>
      </w:r>
      <w:r w:rsidRPr="003F0F17">
        <w:rPr>
          <w:rStyle w:val="Footnote"/>
          <w:rFonts w:ascii="Calibri" w:eastAsia="Microsoft Sans Serif" w:hAnsi="Calibri" w:cs="Calibri"/>
          <w:b w:val="0"/>
          <w:bCs w:val="0"/>
          <w:sz w:val="20"/>
        </w:rPr>
        <w:t xml:space="preserve">Allusions to Pushkin’s novel in verse, </w:t>
      </w:r>
      <w:r w:rsidRPr="003F0F17">
        <w:rPr>
          <w:rStyle w:val="Footnote"/>
          <w:rFonts w:ascii="Calibri" w:eastAsia="Microsoft Sans Serif" w:hAnsi="Calibri" w:cs="Calibri"/>
          <w:b w:val="0"/>
          <w:bCs w:val="0"/>
          <w:i/>
          <w:iCs/>
          <w:sz w:val="20"/>
        </w:rPr>
        <w:t>Eugene Onegin,</w:t>
      </w:r>
      <w:r w:rsidRPr="003F0F17">
        <w:rPr>
          <w:rStyle w:val="Footnote"/>
          <w:rFonts w:ascii="Calibri" w:eastAsia="Microsoft Sans Serif" w:hAnsi="Calibri" w:cs="Calibri"/>
          <w:b w:val="0"/>
          <w:bCs w:val="0"/>
          <w:sz w:val="20"/>
        </w:rPr>
        <w:t xml:space="preserve"> and to the poems concluding Pasternak’s novel, </w:t>
      </w:r>
      <w:r w:rsidRPr="003F0F17">
        <w:rPr>
          <w:rStyle w:val="Footnote"/>
          <w:rFonts w:ascii="Calibri" w:eastAsia="Microsoft Sans Serif" w:hAnsi="Calibri" w:cs="Calibri"/>
          <w:b w:val="0"/>
          <w:bCs w:val="0"/>
          <w:i/>
          <w:iCs/>
          <w:sz w:val="20"/>
        </w:rPr>
        <w:t>Doctor Zhivago.</w:t>
      </w:r>
    </w:p>
  </w:footnote>
  <w:footnote w:id="3">
    <w:p w14:paraId="7612D8D7" w14:textId="77777777" w:rsidR="00F47E95" w:rsidRPr="003F0F17" w:rsidRDefault="00F47E95" w:rsidP="003F0F17">
      <w:pPr>
        <w:pStyle w:val="FootnoteText"/>
        <w:spacing w:after="60"/>
        <w:jc w:val="both"/>
        <w:rPr>
          <w:rFonts w:asciiTheme="minorHAnsi" w:hAnsiTheme="minorHAnsi" w:cstheme="minorHAnsi"/>
          <w:b/>
          <w:bCs/>
        </w:rPr>
      </w:pPr>
      <w:r w:rsidRPr="003F0F17">
        <w:rPr>
          <w:rStyle w:val="FootnoteReference"/>
          <w:rFonts w:asciiTheme="minorHAnsi" w:hAnsiTheme="minorHAnsi" w:cstheme="minorHAnsi"/>
        </w:rPr>
        <w:footnoteRef/>
      </w:r>
      <w:r w:rsidRPr="003F0F17">
        <w:rPr>
          <w:rFonts w:asciiTheme="minorHAnsi" w:hAnsiTheme="minorHAnsi" w:cstheme="minorHAnsi"/>
          <w:b/>
          <w:bCs/>
        </w:rPr>
        <w:t xml:space="preserve"> </w:t>
      </w:r>
      <w:r w:rsidRPr="003F0F17">
        <w:rPr>
          <w:rStyle w:val="Bodytext20"/>
          <w:rFonts w:ascii="Calibri" w:eastAsia="Microsoft Sans Serif" w:hAnsi="Calibri" w:cs="Calibri"/>
          <w:b w:val="0"/>
          <w:bCs w:val="0"/>
          <w:sz w:val="20"/>
        </w:rPr>
        <w:t>Opening lines of “The Poet" (1923).</w:t>
      </w:r>
    </w:p>
  </w:footnote>
  <w:footnote w:id="4">
    <w:p w14:paraId="4C15A9F0" w14:textId="77777777" w:rsidR="00F47E95" w:rsidRPr="003F0F17" w:rsidRDefault="00F47E95" w:rsidP="003F0F17">
      <w:pPr>
        <w:pStyle w:val="FootnoteText"/>
        <w:spacing w:after="60"/>
        <w:jc w:val="both"/>
        <w:rPr>
          <w:rFonts w:asciiTheme="minorHAnsi" w:hAnsiTheme="minorHAnsi" w:cstheme="minorHAnsi"/>
          <w:b/>
          <w:bCs/>
        </w:rPr>
      </w:pPr>
      <w:r w:rsidRPr="003F0F17">
        <w:rPr>
          <w:rStyle w:val="FootnoteReference"/>
          <w:rFonts w:asciiTheme="minorHAnsi" w:hAnsiTheme="minorHAnsi" w:cstheme="minorHAnsi"/>
        </w:rPr>
        <w:footnoteRef/>
      </w:r>
      <w:r w:rsidRPr="003F0F17">
        <w:rPr>
          <w:rFonts w:asciiTheme="minorHAnsi" w:hAnsiTheme="minorHAnsi" w:cstheme="minorHAnsi"/>
          <w:b/>
          <w:bCs/>
        </w:rPr>
        <w:t xml:space="preserve"> </w:t>
      </w:r>
      <w:r w:rsidRPr="003F0F17">
        <w:rPr>
          <w:rStyle w:val="Bodytext20"/>
          <w:rFonts w:ascii="Calibri" w:eastAsia="Microsoft Sans Serif" w:hAnsi="Calibri" w:cs="Calibri"/>
          <w:b w:val="0"/>
          <w:bCs w:val="0"/>
          <w:sz w:val="20"/>
        </w:rPr>
        <w:t>Karl Marx: “Being [existence] determines consciousness.”</w:t>
      </w:r>
    </w:p>
  </w:footnote>
  <w:footnote w:id="5">
    <w:p w14:paraId="76254383" w14:textId="77777777" w:rsidR="00F47E95" w:rsidRPr="003F0F17" w:rsidRDefault="00F47E95" w:rsidP="003F0F17">
      <w:pPr>
        <w:pStyle w:val="FootnoteText"/>
        <w:spacing w:after="60"/>
        <w:jc w:val="both"/>
        <w:rPr>
          <w:rFonts w:asciiTheme="minorHAnsi" w:hAnsiTheme="minorHAnsi" w:cstheme="minorHAnsi"/>
          <w:b/>
          <w:bCs/>
        </w:rPr>
      </w:pPr>
      <w:r w:rsidRPr="003F0F17">
        <w:rPr>
          <w:rStyle w:val="FootnoteReference"/>
          <w:rFonts w:asciiTheme="minorHAnsi" w:hAnsiTheme="minorHAnsi" w:cstheme="minorHAnsi"/>
        </w:rPr>
        <w:footnoteRef/>
      </w:r>
      <w:r w:rsidRPr="003F0F17">
        <w:rPr>
          <w:rFonts w:asciiTheme="minorHAnsi" w:hAnsiTheme="minorHAnsi" w:cstheme="minorHAnsi"/>
          <w:b/>
          <w:bCs/>
        </w:rPr>
        <w:t xml:space="preserve"> </w:t>
      </w:r>
      <w:r w:rsidRPr="003F0F17">
        <w:rPr>
          <w:rStyle w:val="Bodytext20"/>
          <w:rFonts w:ascii="Calibri" w:eastAsia="Microsoft Sans Serif" w:hAnsi="Calibri" w:cs="Calibri"/>
          <w:b w:val="0"/>
          <w:bCs w:val="0"/>
          <w:sz w:val="20"/>
        </w:rPr>
        <w:t>From Mandelstam’s poem “To the German Tongue” (1932).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4851" w14:textId="77777777" w:rsidR="00F47E95" w:rsidRDefault="00F47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3D2AC" w14:textId="33DFF72B" w:rsidR="00F47E95" w:rsidRPr="00D1040D" w:rsidRDefault="00D1040D" w:rsidP="00F47E95">
    <w:pPr>
      <w:pStyle w:val="Header"/>
      <w:rPr>
        <w:rFonts w:ascii="Arial" w:hAnsi="Arial" w:cs="Arial"/>
        <w:color w:val="999999"/>
        <w:sz w:val="20"/>
        <w:lang w:val="ru-RU"/>
      </w:rPr>
    </w:pPr>
    <w:r w:rsidRPr="00D1040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2C0AB" w14:textId="77777777" w:rsidR="00F47E95" w:rsidRDefault="00F47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C4732"/>
    <w:rsid w:val="00104A43"/>
    <w:rsid w:val="0015074B"/>
    <w:rsid w:val="00282D65"/>
    <w:rsid w:val="0029639D"/>
    <w:rsid w:val="00326F90"/>
    <w:rsid w:val="00386AFB"/>
    <w:rsid w:val="003F0F17"/>
    <w:rsid w:val="00750357"/>
    <w:rsid w:val="00AA1D8D"/>
    <w:rsid w:val="00B47730"/>
    <w:rsid w:val="00CB0664"/>
    <w:rsid w:val="00D1040D"/>
    <w:rsid w:val="00F47E9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F0909A"/>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F47E95"/>
  </w:style>
  <w:style w:type="character" w:customStyle="1" w:styleId="Footnote">
    <w:name w:val="Footnote_"/>
    <w:basedOn w:val="DefaultParagraphFont"/>
    <w:link w:val="Footnote0"/>
    <w:rsid w:val="00F47E95"/>
    <w:rPr>
      <w:rFonts w:ascii="Times New Roman" w:eastAsia="Times New Roman" w:hAnsi="Times New Roman" w:cs="Times New Roman"/>
      <w:b/>
      <w:bCs/>
      <w:sz w:val="13"/>
      <w:szCs w:val="13"/>
    </w:rPr>
  </w:style>
  <w:style w:type="character" w:customStyle="1" w:styleId="Heading10">
    <w:name w:val="Heading #1_"/>
    <w:basedOn w:val="DefaultParagraphFont"/>
    <w:link w:val="Heading11"/>
    <w:rsid w:val="00F47E95"/>
    <w:rPr>
      <w:rFonts w:ascii="Times New Roman" w:eastAsia="Times New Roman" w:hAnsi="Times New Roman" w:cs="Times New Roman"/>
      <w:i/>
      <w:iCs/>
      <w:sz w:val="54"/>
      <w:szCs w:val="54"/>
    </w:rPr>
  </w:style>
  <w:style w:type="character" w:customStyle="1" w:styleId="Bodytext20">
    <w:name w:val="Body text (2)_"/>
    <w:basedOn w:val="DefaultParagraphFont"/>
    <w:link w:val="Bodytext21"/>
    <w:rsid w:val="00F47E95"/>
    <w:rPr>
      <w:rFonts w:ascii="Times New Roman" w:eastAsia="Times New Roman" w:hAnsi="Times New Roman" w:cs="Times New Roman"/>
      <w:b/>
      <w:bCs/>
      <w:sz w:val="13"/>
      <w:szCs w:val="13"/>
    </w:rPr>
  </w:style>
  <w:style w:type="character" w:customStyle="1" w:styleId="Bodytext9">
    <w:name w:val="Body text (9)_"/>
    <w:basedOn w:val="DefaultParagraphFont"/>
    <w:link w:val="Bodytext90"/>
    <w:rsid w:val="00F47E95"/>
    <w:rPr>
      <w:rFonts w:ascii="Arial" w:eastAsia="Arial" w:hAnsi="Arial" w:cs="Arial"/>
      <w:sz w:val="17"/>
      <w:szCs w:val="17"/>
    </w:rPr>
  </w:style>
  <w:style w:type="paragraph" w:customStyle="1" w:styleId="Footnote0">
    <w:name w:val="Footnote"/>
    <w:basedOn w:val="Normal"/>
    <w:link w:val="Footnote"/>
    <w:rsid w:val="00F47E95"/>
    <w:pPr>
      <w:widowControl w:val="0"/>
      <w:spacing w:after="0"/>
    </w:pPr>
    <w:rPr>
      <w:rFonts w:ascii="Times New Roman" w:eastAsia="Times New Roman" w:hAnsi="Times New Roman" w:cs="Times New Roman"/>
      <w:b/>
      <w:bCs/>
      <w:sz w:val="13"/>
      <w:szCs w:val="13"/>
    </w:rPr>
  </w:style>
  <w:style w:type="paragraph" w:customStyle="1" w:styleId="Heading11">
    <w:name w:val="Heading #1"/>
    <w:basedOn w:val="Normal"/>
    <w:link w:val="Heading10"/>
    <w:rsid w:val="00F47E95"/>
    <w:pPr>
      <w:widowControl w:val="0"/>
      <w:spacing w:after="360" w:line="240" w:lineRule="auto"/>
      <w:jc w:val="center"/>
      <w:outlineLvl w:val="0"/>
    </w:pPr>
    <w:rPr>
      <w:rFonts w:ascii="Times New Roman" w:eastAsia="Times New Roman" w:hAnsi="Times New Roman" w:cs="Times New Roman"/>
      <w:i/>
      <w:iCs/>
      <w:sz w:val="54"/>
      <w:szCs w:val="54"/>
    </w:rPr>
  </w:style>
  <w:style w:type="paragraph" w:customStyle="1" w:styleId="Bodytext21">
    <w:name w:val="Body text (2)"/>
    <w:basedOn w:val="Normal"/>
    <w:link w:val="Bodytext20"/>
    <w:rsid w:val="00F47E95"/>
    <w:pPr>
      <w:widowControl w:val="0"/>
      <w:spacing w:after="120" w:line="240" w:lineRule="auto"/>
    </w:pPr>
    <w:rPr>
      <w:rFonts w:ascii="Times New Roman" w:eastAsia="Times New Roman" w:hAnsi="Times New Roman" w:cs="Times New Roman"/>
      <w:b/>
      <w:bCs/>
      <w:sz w:val="13"/>
      <w:szCs w:val="13"/>
    </w:rPr>
  </w:style>
  <w:style w:type="paragraph" w:customStyle="1" w:styleId="Bodytext90">
    <w:name w:val="Body text (9)"/>
    <w:basedOn w:val="Normal"/>
    <w:link w:val="Bodytext9"/>
    <w:rsid w:val="00F47E95"/>
    <w:pPr>
      <w:widowControl w:val="0"/>
      <w:spacing w:after="170" w:line="262" w:lineRule="auto"/>
      <w:ind w:firstLine="340"/>
    </w:pPr>
    <w:rPr>
      <w:rFonts w:ascii="Arial" w:eastAsia="Arial" w:hAnsi="Arial" w:cs="Arial"/>
      <w:sz w:val="17"/>
      <w:szCs w:val="17"/>
    </w:rPr>
  </w:style>
  <w:style w:type="paragraph" w:styleId="FootnoteText">
    <w:name w:val="footnote text"/>
    <w:basedOn w:val="Normal"/>
    <w:link w:val="FootnoteTextChar"/>
    <w:uiPriority w:val="99"/>
    <w:semiHidden/>
    <w:unhideWhenUsed/>
    <w:rsid w:val="00F47E95"/>
    <w:pPr>
      <w:widowControl w:val="0"/>
      <w:spacing w:after="0" w:line="240" w:lineRule="auto"/>
    </w:pPr>
    <w:rPr>
      <w:rFonts w:ascii="Microsoft Sans Serif" w:eastAsia="Microsoft Sans Serif" w:hAnsi="Microsoft Sans Serif" w:cs="Microsoft Sans Serif"/>
      <w:color w:val="000000"/>
      <w:sz w:val="20"/>
      <w:szCs w:val="20"/>
      <w:lang w:bidi="en-US"/>
    </w:rPr>
  </w:style>
  <w:style w:type="character" w:customStyle="1" w:styleId="FootnoteTextChar">
    <w:name w:val="Footnote Text Char"/>
    <w:basedOn w:val="DefaultParagraphFont"/>
    <w:link w:val="FootnoteText"/>
    <w:uiPriority w:val="99"/>
    <w:semiHidden/>
    <w:rsid w:val="00F47E95"/>
    <w:rPr>
      <w:rFonts w:ascii="Microsoft Sans Serif" w:eastAsia="Microsoft Sans Serif" w:hAnsi="Microsoft Sans Serif" w:cs="Microsoft Sans Serif"/>
      <w:color w:val="000000"/>
      <w:sz w:val="20"/>
      <w:szCs w:val="20"/>
      <w:lang w:bidi="en-US"/>
    </w:rPr>
  </w:style>
  <w:style w:type="character" w:styleId="FootnoteReference">
    <w:name w:val="footnote reference"/>
    <w:basedOn w:val="DefaultParagraphFont"/>
    <w:uiPriority w:val="99"/>
    <w:semiHidden/>
    <w:unhideWhenUsed/>
    <w:rsid w:val="00F47E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52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4753</Words>
  <Characters>27098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Poet and Prose</dc:title>
  <dc:subject/>
  <dc:creator>Joseph Brodsky</dc:creator>
  <cp:keywords/>
  <dc:description/>
  <cp:lastModifiedBy>Andrey Piskunov</cp:lastModifiedBy>
  <cp:revision>8</cp:revision>
  <dcterms:created xsi:type="dcterms:W3CDTF">2013-12-23T23:15:00Z</dcterms:created>
  <dcterms:modified xsi:type="dcterms:W3CDTF">2026-06-25T04:20:00Z</dcterms:modified>
  <cp:category/>
</cp:coreProperties>
</file>